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B5" w:rsidRPr="00FD08B5" w:rsidRDefault="00FD08B5" w:rsidP="00FD08B5">
      <w:pPr>
        <w:rPr>
          <w:b/>
        </w:rPr>
      </w:pPr>
      <w:bookmarkStart w:id="0" w:name="_Toc406568740"/>
      <w:r>
        <w:rPr>
          <w:b/>
        </w:rPr>
        <w:t>Congestion</w:t>
      </w:r>
    </w:p>
    <w:p w:rsidR="00372C53" w:rsidRPr="00314D69" w:rsidRDefault="00372C53" w:rsidP="00372C53">
      <w:pPr>
        <w:rPr>
          <w:szCs w:val="22"/>
        </w:rPr>
      </w:pPr>
      <w:r>
        <w:rPr>
          <w:szCs w:val="22"/>
        </w:rPr>
        <w:t>A</w:t>
      </w:r>
      <w:r w:rsidRPr="00314D69">
        <w:rPr>
          <w:szCs w:val="22"/>
        </w:rPr>
        <w:t>dding a second track will reduce congestion and delay for</w:t>
      </w:r>
      <w:r>
        <w:rPr>
          <w:szCs w:val="22"/>
        </w:rPr>
        <w:t xml:space="preserve"> the</w:t>
      </w:r>
      <w:r w:rsidRPr="00314D69">
        <w:rPr>
          <w:szCs w:val="22"/>
        </w:rPr>
        <w:t xml:space="preserve"> railroad</w:t>
      </w:r>
      <w:r>
        <w:rPr>
          <w:szCs w:val="22"/>
        </w:rPr>
        <w:t>s</w:t>
      </w:r>
      <w:r w:rsidRPr="00314D69">
        <w:rPr>
          <w:szCs w:val="22"/>
        </w:rPr>
        <w:t>, allow</w:t>
      </w:r>
      <w:r>
        <w:rPr>
          <w:szCs w:val="22"/>
        </w:rPr>
        <w:t>ing</w:t>
      </w:r>
      <w:r w:rsidRPr="00314D69">
        <w:rPr>
          <w:szCs w:val="22"/>
        </w:rPr>
        <w:t xml:space="preserve"> them to run trains in a more energy efficient manner.  Moreover, additional capacity should shift some freight transportation from truck to rail</w:t>
      </w:r>
      <w:r>
        <w:rPr>
          <w:szCs w:val="22"/>
        </w:rPr>
        <w:t xml:space="preserve"> and prevent future diversions from rail to truck.</w:t>
      </w:r>
      <w:r w:rsidRPr="00314D69">
        <w:rPr>
          <w:szCs w:val="22"/>
        </w:rPr>
        <w:t xml:space="preserve"> </w:t>
      </w:r>
      <w:r>
        <w:rPr>
          <w:szCs w:val="22"/>
        </w:rPr>
        <w:t>Rail</w:t>
      </w:r>
      <w:r w:rsidRPr="00314D69">
        <w:rPr>
          <w:szCs w:val="22"/>
        </w:rPr>
        <w:t xml:space="preserve"> is a more efficient form of transportation that produces anywhere from 30 to 8 percent of the emissions generated by trucks.</w:t>
      </w:r>
    </w:p>
    <w:p w:rsidR="00372C53" w:rsidRPr="00314D69" w:rsidRDefault="00372C53" w:rsidP="00372C53">
      <w:pPr>
        <w:rPr>
          <w:szCs w:val="22"/>
        </w:rPr>
      </w:pPr>
      <w:r w:rsidRPr="00314D69">
        <w:rPr>
          <w:szCs w:val="22"/>
        </w:rPr>
        <w:t xml:space="preserve">Furthermore, additional railroad capacity enabled by the second track will reduce congestion and delay on area roads for providers of truck transportation.  This will allow trucks carrying freight – as well as other motorists – to operate their vehicles at a more consistent speed, one that promotes the efficient consumption of diesel fuel and gasoline.  Reductions in fuel consumption by area vehicles will reduce the amount of harmful </w:t>
      </w:r>
      <w:r>
        <w:rPr>
          <w:szCs w:val="22"/>
        </w:rPr>
        <w:t xml:space="preserve">greenhouse gas </w:t>
      </w:r>
      <w:r w:rsidRPr="00314D69">
        <w:rPr>
          <w:szCs w:val="22"/>
        </w:rPr>
        <w:t>emissions in the air</w:t>
      </w:r>
      <w:r>
        <w:rPr>
          <w:szCs w:val="22"/>
        </w:rPr>
        <w:t xml:space="preserve"> and improve local air quality.</w:t>
      </w:r>
    </w:p>
    <w:p w:rsidR="008E22CA" w:rsidRDefault="008E22CA" w:rsidP="008E22CA">
      <w:pPr>
        <w:pStyle w:val="Heading3"/>
        <w:numPr>
          <w:ilvl w:val="0"/>
          <w:numId w:val="0"/>
        </w:numPr>
      </w:pPr>
      <w:r>
        <w:t>Baseline</w:t>
      </w:r>
      <w:bookmarkEnd w:id="0"/>
    </w:p>
    <w:p w:rsidR="008E22CA" w:rsidRDefault="008E22CA" w:rsidP="008E22CA">
      <w:r>
        <w:t>The current single-track configuration on the Broadway Street Bridge is designed to accommodate 18 trains per day with no delay.  Current utilization of the single-track segment, based on data collected by PTRA, is 21 trains per day and this number is expected to grow.  These trains, on average, handle over 1,000 rail cars per day.  The overutilization of the track is creating congestion in the corridor, which increases the cost of transportation by introducing delay into the network and lowers the local air quality by increasing harmful emissions.  This section of the report describes the baseline, or no-investment scenario, for the single-track railroad segment bridge.</w:t>
      </w:r>
    </w:p>
    <w:p w:rsidR="008E22CA" w:rsidRDefault="008E22CA" w:rsidP="008E22CA">
      <w:r>
        <w:t xml:space="preserve">Data collected by the PTRA indicates that the existing single-track configuration creates 2.5 hours of delay per day for railroads operating on the segment.  As freight shipments on the alignment are forecast to grow, delays are expected to become worse in the baseline scenario if no action is taken.  </w:t>
      </w:r>
      <w:r>
        <w:fldChar w:fldCharType="begin"/>
      </w:r>
      <w:r>
        <w:instrText xml:space="preserve"> REF _Ref384385897 \h </w:instrText>
      </w:r>
      <w:r>
        <w:fldChar w:fldCharType="separate"/>
      </w:r>
      <w:r>
        <w:t xml:space="preserve">Figure </w:t>
      </w:r>
      <w:r>
        <w:rPr>
          <w:noProof/>
        </w:rPr>
        <w:t>2</w:t>
      </w:r>
      <w:r>
        <w:fldChar w:fldCharType="end"/>
      </w:r>
      <w:r>
        <w:t xml:space="preserve"> displays baseline daily train traffic and delay estimates from </w:t>
      </w:r>
      <w:r w:rsidRPr="008418EF">
        <w:t>2015 to 2044</w:t>
      </w:r>
      <w:r w:rsidRPr="00AC7F98">
        <w:t>.</w:t>
      </w:r>
      <w:r>
        <w:t xml:space="preserve">  Note that in 2018, the rail alignment becomes completely constrained and accommodates 24 trains with 4.75 hours delay per day.  Once the alignment becomes constrained, freight moving into and out of the Port will need to move by other means, including truck and other modes of transportation.</w:t>
      </w:r>
    </w:p>
    <w:p w:rsidR="008E22CA" w:rsidRDefault="008E22CA" w:rsidP="008E22CA">
      <w:pPr>
        <w:pStyle w:val="Caption"/>
        <w:keepNext/>
      </w:pPr>
      <w:bookmarkStart w:id="1" w:name="_Ref384385897"/>
      <w:bookmarkStart w:id="2" w:name="_Toc386190677"/>
      <w:r>
        <w:lastRenderedPageBreak/>
        <w:t xml:space="preserve">Figure </w:t>
      </w:r>
      <w:fldSimple w:instr=" SEQ Figure \* ARABIC ">
        <w:r>
          <w:rPr>
            <w:noProof/>
          </w:rPr>
          <w:t>2</w:t>
        </w:r>
      </w:fldSimple>
      <w:bookmarkEnd w:id="1"/>
      <w:r>
        <w:t>: Baseline Daily Train Traffic and Delay</w:t>
      </w:r>
      <w:bookmarkEnd w:id="2"/>
    </w:p>
    <w:p w:rsidR="008E22CA" w:rsidRDefault="008E22CA" w:rsidP="008E22CA">
      <w:pPr>
        <w:pStyle w:val="Caption"/>
      </w:pPr>
      <w:r>
        <w:rPr>
          <w:noProof/>
          <w:lang w:eastAsia="en-US"/>
        </w:rPr>
        <w:drawing>
          <wp:inline distT="0" distB="0" distL="0" distR="0" wp14:anchorId="764FD541" wp14:editId="6FB5287B">
            <wp:extent cx="59531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857500"/>
                    </a:xfrm>
                    <a:prstGeom prst="rect">
                      <a:avLst/>
                    </a:prstGeom>
                    <a:noFill/>
                  </pic:spPr>
                </pic:pic>
              </a:graphicData>
            </a:graphic>
          </wp:inline>
        </w:drawing>
      </w:r>
    </w:p>
    <w:p w:rsidR="008E22CA" w:rsidRDefault="008E22CA" w:rsidP="008E22CA">
      <w:pPr>
        <w:jc w:val="center"/>
        <w:rPr>
          <w:sz w:val="20"/>
        </w:rPr>
      </w:pPr>
      <w:r w:rsidRPr="00822AFB">
        <w:rPr>
          <w:sz w:val="20"/>
        </w:rPr>
        <w:t xml:space="preserve">Source: </w:t>
      </w:r>
      <w:r>
        <w:rPr>
          <w:sz w:val="20"/>
        </w:rPr>
        <w:t>PTRA data and PHA estimates</w:t>
      </w:r>
    </w:p>
    <w:p w:rsidR="008E22CA" w:rsidRDefault="008E22CA" w:rsidP="008E22CA">
      <w:r>
        <w:t>According to PTRA, the average cost of delay for railroads operating on the corridor is estimated to be $1,000 per hour.  This cost includes expenditures associated with fuel, crew, and maintenance</w:t>
      </w:r>
      <w:r w:rsidRPr="00AC7F98">
        <w:t xml:space="preserve">.  In the absence of a second track, the baseline cost of delay is expected to reach between </w:t>
      </w:r>
      <w:r w:rsidRPr="008418EF">
        <w:t>$2</w:t>
      </w:r>
      <w:r>
        <w:t>1.5</w:t>
      </w:r>
      <w:r w:rsidRPr="008418EF">
        <w:t xml:space="preserve"> and $</w:t>
      </w:r>
      <w:r>
        <w:t>33.4</w:t>
      </w:r>
      <w:r w:rsidRPr="008418EF">
        <w:t xml:space="preserve"> M over a 30 year period</w:t>
      </w:r>
      <w:r w:rsidRPr="00AC7F98">
        <w:t>.</w:t>
      </w:r>
      <w:r>
        <w:t xml:space="preserve">  See </w:t>
      </w:r>
      <w:r>
        <w:fldChar w:fldCharType="begin"/>
      </w:r>
      <w:r>
        <w:instrText xml:space="preserve"> REF _Ref384916174 \h </w:instrText>
      </w:r>
      <w:r>
        <w:fldChar w:fldCharType="separate"/>
      </w:r>
      <w:r>
        <w:t xml:space="preserve">Table </w:t>
      </w:r>
      <w:r>
        <w:rPr>
          <w:noProof/>
        </w:rPr>
        <w:t>6</w:t>
      </w:r>
      <w:r>
        <w:fldChar w:fldCharType="end"/>
      </w:r>
      <w:r>
        <w:t>.</w:t>
      </w:r>
    </w:p>
    <w:p w:rsidR="008E22CA" w:rsidRDefault="008E22CA" w:rsidP="008E22CA">
      <w:pPr>
        <w:pStyle w:val="Caption"/>
        <w:keepNext/>
      </w:pPr>
      <w:bookmarkStart w:id="3" w:name="_Ref384916174"/>
      <w:bookmarkStart w:id="4" w:name="_Ref384387894"/>
      <w:bookmarkStart w:id="5" w:name="_Toc386190666"/>
      <w:r>
        <w:t xml:space="preserve">Table </w:t>
      </w:r>
      <w:fldSimple w:instr=" SEQ Table \* ARABIC ">
        <w:r>
          <w:rPr>
            <w:noProof/>
          </w:rPr>
          <w:t>6</w:t>
        </w:r>
      </w:fldSimple>
      <w:bookmarkEnd w:id="3"/>
      <w:r>
        <w:t xml:space="preserve">: </w:t>
      </w:r>
      <w:bookmarkEnd w:id="4"/>
      <w:r>
        <w:t>Baseline Cost of Delay</w:t>
      </w:r>
      <w:bookmarkEnd w:id="5"/>
    </w:p>
    <w:tbl>
      <w:tblPr>
        <w:tblStyle w:val="TableGrid"/>
        <w:tblW w:w="0" w:type="auto"/>
        <w:tblInd w:w="828" w:type="dxa"/>
        <w:tblLook w:val="04A0" w:firstRow="1" w:lastRow="0" w:firstColumn="1" w:lastColumn="0" w:noHBand="0" w:noVBand="1"/>
      </w:tblPr>
      <w:tblGrid>
        <w:gridCol w:w="2700"/>
        <w:gridCol w:w="2565"/>
        <w:gridCol w:w="2565"/>
      </w:tblGrid>
      <w:tr w:rsidR="008E22CA" w:rsidRPr="00DA586E" w:rsidTr="0084164D">
        <w:trPr>
          <w:trHeight w:val="260"/>
        </w:trPr>
        <w:tc>
          <w:tcPr>
            <w:tcW w:w="2700" w:type="dxa"/>
            <w:tcBorders>
              <w:top w:val="nil"/>
              <w:left w:val="nil"/>
            </w:tcBorders>
            <w:vAlign w:val="bottom"/>
          </w:tcPr>
          <w:p w:rsidR="008E22CA" w:rsidRPr="00DA586E" w:rsidRDefault="008E22CA" w:rsidP="0084164D">
            <w:pPr>
              <w:pStyle w:val="Caption"/>
              <w:keepNext/>
              <w:jc w:val="left"/>
            </w:pPr>
          </w:p>
        </w:tc>
        <w:tc>
          <w:tcPr>
            <w:tcW w:w="5130" w:type="dxa"/>
            <w:gridSpan w:val="2"/>
            <w:shd w:val="clear" w:color="auto" w:fill="BFBFBF" w:themeFill="background1" w:themeFillShade="BF"/>
            <w:vAlign w:val="center"/>
          </w:tcPr>
          <w:p w:rsidR="008E22CA" w:rsidRPr="00DA586E" w:rsidRDefault="008E22CA" w:rsidP="0084164D">
            <w:pPr>
              <w:keepNext/>
              <w:jc w:val="center"/>
              <w:rPr>
                <w:b/>
                <w:sz w:val="20"/>
              </w:rPr>
            </w:pPr>
            <w:r w:rsidRPr="00DA586E">
              <w:rPr>
                <w:b/>
                <w:sz w:val="20"/>
              </w:rPr>
              <w:t>30 Year Present Value</w:t>
            </w:r>
          </w:p>
        </w:tc>
      </w:tr>
      <w:tr w:rsidR="008E22CA" w:rsidRPr="00DA586E" w:rsidTr="0084164D">
        <w:tc>
          <w:tcPr>
            <w:tcW w:w="2700" w:type="dxa"/>
            <w:vMerge w:val="restart"/>
            <w:shd w:val="clear" w:color="auto" w:fill="BFBFBF" w:themeFill="background1" w:themeFillShade="BF"/>
            <w:vAlign w:val="center"/>
          </w:tcPr>
          <w:p w:rsidR="008E22CA" w:rsidRPr="00DA586E" w:rsidRDefault="008E22CA" w:rsidP="0084164D">
            <w:pPr>
              <w:keepNext/>
            </w:pPr>
            <w:r w:rsidRPr="00DA586E">
              <w:rPr>
                <w:b/>
                <w:sz w:val="20"/>
              </w:rPr>
              <w:t>Baseline Cost of Delay</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7%</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3%</w:t>
            </w:r>
          </w:p>
        </w:tc>
      </w:tr>
      <w:tr w:rsidR="008E22CA" w:rsidRPr="00DA586E" w:rsidTr="0084164D">
        <w:tc>
          <w:tcPr>
            <w:tcW w:w="2700" w:type="dxa"/>
            <w:vMerge/>
            <w:shd w:val="clear" w:color="auto" w:fill="BFBFBF" w:themeFill="background1" w:themeFillShade="BF"/>
            <w:vAlign w:val="center"/>
          </w:tcPr>
          <w:p w:rsidR="008E22CA" w:rsidRPr="00DA586E" w:rsidRDefault="008E22CA" w:rsidP="0084164D">
            <w:pPr>
              <w:pStyle w:val="Caption"/>
              <w:keepNext/>
              <w:rPr>
                <w:b w:val="0"/>
              </w:rPr>
            </w:pPr>
          </w:p>
        </w:tc>
        <w:tc>
          <w:tcPr>
            <w:tcW w:w="2565" w:type="dxa"/>
            <w:vAlign w:val="center"/>
          </w:tcPr>
          <w:p w:rsidR="008E22CA" w:rsidRPr="00DA586E" w:rsidRDefault="008E22CA" w:rsidP="0084164D">
            <w:pPr>
              <w:pStyle w:val="Caption"/>
              <w:keepNext/>
              <w:spacing w:after="0"/>
              <w:rPr>
                <w:b w:val="0"/>
              </w:rPr>
            </w:pPr>
            <w:r w:rsidRPr="00DA586E">
              <w:rPr>
                <w:b w:val="0"/>
              </w:rPr>
              <w:t>$2</w:t>
            </w:r>
            <w:r>
              <w:rPr>
                <w:b w:val="0"/>
              </w:rPr>
              <w:t>1.5 million</w:t>
            </w:r>
          </w:p>
        </w:tc>
        <w:tc>
          <w:tcPr>
            <w:tcW w:w="2565" w:type="dxa"/>
            <w:vAlign w:val="center"/>
          </w:tcPr>
          <w:p w:rsidR="008E22CA" w:rsidRPr="00DA586E" w:rsidRDefault="008E22CA" w:rsidP="0084164D">
            <w:pPr>
              <w:pStyle w:val="Caption"/>
              <w:keepNext/>
              <w:spacing w:after="0"/>
              <w:rPr>
                <w:b w:val="0"/>
              </w:rPr>
            </w:pPr>
            <w:r w:rsidRPr="00DA586E">
              <w:rPr>
                <w:b w:val="0"/>
              </w:rPr>
              <w:t>$</w:t>
            </w:r>
            <w:r>
              <w:rPr>
                <w:b w:val="0"/>
              </w:rPr>
              <w:t>33.4 million</w:t>
            </w:r>
          </w:p>
        </w:tc>
      </w:tr>
    </w:tbl>
    <w:p w:rsidR="008E22CA" w:rsidRPr="0068748C" w:rsidRDefault="008E22CA" w:rsidP="008E22CA">
      <w:pPr>
        <w:jc w:val="center"/>
        <w:rPr>
          <w:sz w:val="20"/>
        </w:rPr>
      </w:pPr>
      <w:r>
        <w:rPr>
          <w:sz w:val="20"/>
        </w:rPr>
        <w:t>Source: PTRA data and PHA estimates</w:t>
      </w:r>
    </w:p>
    <w:p w:rsidR="008E22CA" w:rsidRDefault="008E22CA" w:rsidP="008E22CA">
      <w:r>
        <w:t xml:space="preserve">Delays created by the “bottleneck” at the single-track segment prevent freight trains from operating in an optimal manner, resulting in increased fuel consumption and increased emissions.  Emissions from diesel locomotive engines include particulate matter, volatile organic compounds, nitrogen oxide, sulfur dioxide, and carbon dioxide.  </w:t>
      </w:r>
      <w:r w:rsidRPr="00AC7F98">
        <w:fldChar w:fldCharType="begin"/>
      </w:r>
      <w:r w:rsidRPr="00AC7F98">
        <w:instrText xml:space="preserve"> REF _Ref384976799 \h </w:instrText>
      </w:r>
      <w:r>
        <w:instrText xml:space="preserve"> \* MERGEFORMAT </w:instrText>
      </w:r>
      <w:r w:rsidRPr="00AC7F98">
        <w:fldChar w:fldCharType="separate"/>
      </w:r>
      <w:r>
        <w:t xml:space="preserve">Table </w:t>
      </w:r>
      <w:r>
        <w:rPr>
          <w:noProof/>
        </w:rPr>
        <w:t>7</w:t>
      </w:r>
      <w:r w:rsidRPr="00AC7F98">
        <w:fldChar w:fldCharType="end"/>
      </w:r>
      <w:r w:rsidRPr="00AC7F98">
        <w:t xml:space="preserve"> presents the cost of baseline emissions </w:t>
      </w:r>
      <w:r w:rsidRPr="008418EF">
        <w:t>over a 30 year period</w:t>
      </w:r>
      <w:r w:rsidRPr="00AC7F98">
        <w:t>.</w:t>
      </w:r>
    </w:p>
    <w:p w:rsidR="008E22CA" w:rsidRDefault="008E22CA" w:rsidP="008E22CA">
      <w:pPr>
        <w:pStyle w:val="Caption"/>
        <w:keepNext/>
      </w:pPr>
      <w:bookmarkStart w:id="6" w:name="_Ref384976799"/>
      <w:bookmarkStart w:id="7" w:name="_Toc386190667"/>
      <w:r>
        <w:lastRenderedPageBreak/>
        <w:t xml:space="preserve">Table </w:t>
      </w:r>
      <w:fldSimple w:instr=" SEQ Table \* ARABIC ">
        <w:r>
          <w:rPr>
            <w:noProof/>
          </w:rPr>
          <w:t>7</w:t>
        </w:r>
      </w:fldSimple>
      <w:bookmarkEnd w:id="6"/>
      <w:r>
        <w:t>: Baseline Cost of Emissions from Delayed Diesel Locomotives</w:t>
      </w:r>
      <w:bookmarkEnd w:id="7"/>
    </w:p>
    <w:tbl>
      <w:tblPr>
        <w:tblStyle w:val="TableGrid"/>
        <w:tblW w:w="0" w:type="auto"/>
        <w:tblInd w:w="828" w:type="dxa"/>
        <w:tblLook w:val="04A0" w:firstRow="1" w:lastRow="0" w:firstColumn="1" w:lastColumn="0" w:noHBand="0" w:noVBand="1"/>
      </w:tblPr>
      <w:tblGrid>
        <w:gridCol w:w="2700"/>
        <w:gridCol w:w="2565"/>
        <w:gridCol w:w="2565"/>
      </w:tblGrid>
      <w:tr w:rsidR="008E22CA" w:rsidRPr="00DA586E" w:rsidTr="0084164D">
        <w:trPr>
          <w:trHeight w:val="260"/>
        </w:trPr>
        <w:tc>
          <w:tcPr>
            <w:tcW w:w="2700" w:type="dxa"/>
            <w:tcBorders>
              <w:top w:val="nil"/>
              <w:left w:val="nil"/>
            </w:tcBorders>
            <w:vAlign w:val="bottom"/>
          </w:tcPr>
          <w:p w:rsidR="008E22CA" w:rsidRPr="00DA586E" w:rsidRDefault="008E22CA" w:rsidP="0084164D">
            <w:pPr>
              <w:pStyle w:val="Caption"/>
              <w:keepNext/>
              <w:jc w:val="left"/>
            </w:pPr>
          </w:p>
        </w:tc>
        <w:tc>
          <w:tcPr>
            <w:tcW w:w="5130" w:type="dxa"/>
            <w:gridSpan w:val="2"/>
            <w:shd w:val="clear" w:color="auto" w:fill="BFBFBF" w:themeFill="background1" w:themeFillShade="BF"/>
            <w:vAlign w:val="center"/>
          </w:tcPr>
          <w:p w:rsidR="008E22CA" w:rsidRPr="00DA586E" w:rsidRDefault="008E22CA" w:rsidP="0084164D">
            <w:pPr>
              <w:keepNext/>
              <w:jc w:val="center"/>
              <w:rPr>
                <w:b/>
                <w:sz w:val="20"/>
              </w:rPr>
            </w:pPr>
            <w:r w:rsidRPr="00DA586E">
              <w:rPr>
                <w:b/>
                <w:sz w:val="20"/>
              </w:rPr>
              <w:t>30 Year Present Value</w:t>
            </w:r>
          </w:p>
        </w:tc>
      </w:tr>
      <w:tr w:rsidR="008E22CA" w:rsidRPr="00DA586E" w:rsidTr="0084164D">
        <w:tc>
          <w:tcPr>
            <w:tcW w:w="2700" w:type="dxa"/>
            <w:vMerge w:val="restart"/>
            <w:shd w:val="clear" w:color="auto" w:fill="BFBFBF" w:themeFill="background1" w:themeFillShade="BF"/>
            <w:vAlign w:val="center"/>
          </w:tcPr>
          <w:p w:rsidR="008E22CA" w:rsidRPr="00DA586E" w:rsidRDefault="008E22CA" w:rsidP="0084164D">
            <w:pPr>
              <w:keepNext/>
              <w:jc w:val="left"/>
            </w:pPr>
            <w:r w:rsidRPr="00DA586E">
              <w:rPr>
                <w:b/>
                <w:sz w:val="20"/>
              </w:rPr>
              <w:t xml:space="preserve">Baseline Cost of </w:t>
            </w:r>
            <w:r>
              <w:rPr>
                <w:b/>
                <w:sz w:val="20"/>
              </w:rPr>
              <w:t>Emission from Delayed Diesel Locomotives</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7%</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3%</w:t>
            </w:r>
          </w:p>
        </w:tc>
      </w:tr>
      <w:tr w:rsidR="008E22CA" w:rsidRPr="00DA586E" w:rsidTr="0084164D">
        <w:tc>
          <w:tcPr>
            <w:tcW w:w="2700" w:type="dxa"/>
            <w:vMerge/>
            <w:shd w:val="clear" w:color="auto" w:fill="BFBFBF" w:themeFill="background1" w:themeFillShade="BF"/>
            <w:vAlign w:val="center"/>
          </w:tcPr>
          <w:p w:rsidR="008E22CA" w:rsidRPr="00DA586E" w:rsidRDefault="008E22CA" w:rsidP="0084164D">
            <w:pPr>
              <w:pStyle w:val="Caption"/>
              <w:keepNext/>
              <w:rPr>
                <w:b w:val="0"/>
              </w:rPr>
            </w:pPr>
          </w:p>
        </w:tc>
        <w:tc>
          <w:tcPr>
            <w:tcW w:w="2565" w:type="dxa"/>
            <w:vAlign w:val="center"/>
          </w:tcPr>
          <w:p w:rsidR="008E22CA" w:rsidRPr="00DA586E" w:rsidRDefault="008E22CA" w:rsidP="0084164D">
            <w:pPr>
              <w:pStyle w:val="Caption"/>
              <w:keepNext/>
              <w:spacing w:after="0"/>
              <w:rPr>
                <w:b w:val="0"/>
              </w:rPr>
            </w:pPr>
            <w:r>
              <w:rPr>
                <w:b w:val="0"/>
              </w:rPr>
              <w:t>$0</w:t>
            </w:r>
            <w:r w:rsidRPr="00DA586E">
              <w:rPr>
                <w:b w:val="0"/>
              </w:rPr>
              <w:t>.</w:t>
            </w:r>
            <w:r>
              <w:rPr>
                <w:b w:val="0"/>
              </w:rPr>
              <w:t>1 million</w:t>
            </w:r>
          </w:p>
        </w:tc>
        <w:tc>
          <w:tcPr>
            <w:tcW w:w="2565" w:type="dxa"/>
            <w:vAlign w:val="center"/>
          </w:tcPr>
          <w:p w:rsidR="008E22CA" w:rsidRPr="00DA586E" w:rsidRDefault="008E22CA" w:rsidP="0084164D">
            <w:pPr>
              <w:pStyle w:val="Caption"/>
              <w:keepNext/>
              <w:spacing w:after="0"/>
              <w:rPr>
                <w:b w:val="0"/>
              </w:rPr>
            </w:pPr>
            <w:r>
              <w:rPr>
                <w:b w:val="0"/>
              </w:rPr>
              <w:t>$0</w:t>
            </w:r>
            <w:r w:rsidRPr="00DA586E">
              <w:rPr>
                <w:b w:val="0"/>
              </w:rPr>
              <w:t>.</w:t>
            </w:r>
            <w:r>
              <w:rPr>
                <w:b w:val="0"/>
              </w:rPr>
              <w:t>1 million</w:t>
            </w:r>
          </w:p>
        </w:tc>
      </w:tr>
    </w:tbl>
    <w:p w:rsidR="008E22CA" w:rsidRPr="006471E5" w:rsidRDefault="008E22CA" w:rsidP="008E22CA">
      <w:pPr>
        <w:jc w:val="center"/>
      </w:pPr>
      <w:r w:rsidRPr="005B1B7D">
        <w:rPr>
          <w:sz w:val="20"/>
        </w:rPr>
        <w:t>Source: PTRA data and PHA estimates</w:t>
      </w:r>
    </w:p>
    <w:p w:rsidR="008E22CA" w:rsidRPr="00DE59F4" w:rsidRDefault="008E22CA" w:rsidP="004770F3">
      <w:r>
        <w:t>As shown in the figures above, the “bottleneck” created by the single-track rail configuration imposes significant costs on Port of Houston stakeholders.  Investment to replace the bridge and bring a second track to the alignment will yield significant benefits.</w:t>
      </w:r>
    </w:p>
    <w:p w:rsidR="008E22CA" w:rsidRDefault="008E22CA" w:rsidP="008E22CA">
      <w:pPr>
        <w:pStyle w:val="Heading3"/>
        <w:numPr>
          <w:ilvl w:val="0"/>
          <w:numId w:val="0"/>
        </w:numPr>
      </w:pPr>
      <w:bookmarkStart w:id="8" w:name="_Toc406568741"/>
      <w:r w:rsidRPr="00D010F1">
        <w:t>Benefits</w:t>
      </w:r>
      <w:bookmarkEnd w:id="8"/>
    </w:p>
    <w:p w:rsidR="008E22CA" w:rsidRDefault="008E22CA" w:rsidP="008E22CA">
      <w:r>
        <w:t xml:space="preserve">When compared to the status quo, replacing the Broadway Street Bridge and adding a second track will yield significant economic benefits for the railroads, the Port, and the greater Houston region.  Reductions in railroad delay will lower the cost of transportation and reduce pollutants that harm local air quality.  Moreover, by increasing the capacity of the rail alignment, shippers will be able to ship more freight via train, which is a cleaner form of transportation compared with trucks.  </w:t>
      </w:r>
      <w:r>
        <w:fldChar w:fldCharType="begin"/>
      </w:r>
      <w:r>
        <w:instrText xml:space="preserve"> REF _Ref384893200 \h </w:instrText>
      </w:r>
      <w:r>
        <w:fldChar w:fldCharType="separate"/>
      </w:r>
      <w:r>
        <w:t xml:space="preserve">Table </w:t>
      </w:r>
      <w:r>
        <w:rPr>
          <w:noProof/>
        </w:rPr>
        <w:t>8</w:t>
      </w:r>
      <w:r>
        <w:fldChar w:fldCharType="end"/>
      </w:r>
      <w:r>
        <w:t xml:space="preserve"> provides an overview of the benefits of the investment.</w:t>
      </w:r>
    </w:p>
    <w:p w:rsidR="008E22CA" w:rsidRDefault="008E22CA" w:rsidP="008E22CA">
      <w:pPr>
        <w:pStyle w:val="Caption"/>
      </w:pPr>
      <w:bookmarkStart w:id="9" w:name="_Ref384893200"/>
      <w:bookmarkStart w:id="10" w:name="_Toc386190668"/>
      <w:r>
        <w:t xml:space="preserve">Table </w:t>
      </w:r>
      <w:fldSimple w:instr=" SEQ Table \* ARABIC ">
        <w:r>
          <w:rPr>
            <w:noProof/>
          </w:rPr>
          <w:t>8</w:t>
        </w:r>
      </w:fldSimple>
      <w:bookmarkEnd w:id="9"/>
      <w:r>
        <w:t>: Benefit Summary</w:t>
      </w:r>
      <w:bookmarkEnd w:id="10"/>
    </w:p>
    <w:tbl>
      <w:tblPr>
        <w:tblStyle w:val="TableGrid"/>
        <w:tblW w:w="0" w:type="auto"/>
        <w:tblInd w:w="108" w:type="dxa"/>
        <w:tblLook w:val="04A0" w:firstRow="1" w:lastRow="0" w:firstColumn="1" w:lastColumn="0" w:noHBand="0" w:noVBand="1"/>
      </w:tblPr>
      <w:tblGrid>
        <w:gridCol w:w="411"/>
        <w:gridCol w:w="5700"/>
        <w:gridCol w:w="1678"/>
        <w:gridCol w:w="1679"/>
      </w:tblGrid>
      <w:tr w:rsidR="008E22CA" w:rsidRPr="00F50C90" w:rsidTr="0084164D">
        <w:tc>
          <w:tcPr>
            <w:tcW w:w="6111" w:type="dxa"/>
            <w:gridSpan w:val="2"/>
            <w:vMerge w:val="restart"/>
            <w:shd w:val="clear" w:color="auto" w:fill="BFBFBF" w:themeFill="background1" w:themeFillShade="BF"/>
            <w:vAlign w:val="center"/>
          </w:tcPr>
          <w:p w:rsidR="008E22CA" w:rsidRPr="00F50C90" w:rsidRDefault="008E22CA" w:rsidP="0084164D">
            <w:pPr>
              <w:jc w:val="left"/>
              <w:rPr>
                <w:b/>
                <w:sz w:val="20"/>
              </w:rPr>
            </w:pPr>
            <w:r w:rsidRPr="00F50C90">
              <w:rPr>
                <w:b/>
                <w:sz w:val="20"/>
              </w:rPr>
              <w:t>Benefit</w:t>
            </w:r>
          </w:p>
        </w:tc>
        <w:tc>
          <w:tcPr>
            <w:tcW w:w="3357" w:type="dxa"/>
            <w:gridSpan w:val="2"/>
            <w:shd w:val="clear" w:color="auto" w:fill="BFBFBF" w:themeFill="background1" w:themeFillShade="BF"/>
          </w:tcPr>
          <w:p w:rsidR="008E22CA" w:rsidRPr="00F50C90" w:rsidRDefault="008E22CA" w:rsidP="0084164D">
            <w:pPr>
              <w:tabs>
                <w:tab w:val="center" w:pos="2106"/>
              </w:tabs>
              <w:jc w:val="center"/>
              <w:rPr>
                <w:b/>
                <w:sz w:val="20"/>
              </w:rPr>
            </w:pPr>
            <w:r>
              <w:rPr>
                <w:b/>
                <w:sz w:val="20"/>
              </w:rPr>
              <w:t>30-Year Present Value</w:t>
            </w:r>
          </w:p>
        </w:tc>
      </w:tr>
      <w:tr w:rsidR="008E22CA" w:rsidRPr="00F50C90" w:rsidTr="0084164D">
        <w:tc>
          <w:tcPr>
            <w:tcW w:w="6111" w:type="dxa"/>
            <w:gridSpan w:val="2"/>
            <w:vMerge/>
            <w:shd w:val="clear" w:color="auto" w:fill="BFBFBF" w:themeFill="background1" w:themeFillShade="BF"/>
          </w:tcPr>
          <w:p w:rsidR="008E22CA" w:rsidRPr="00F50C90" w:rsidRDefault="008E22CA" w:rsidP="0084164D">
            <w:pPr>
              <w:rPr>
                <w:b/>
                <w:sz w:val="20"/>
              </w:rPr>
            </w:pPr>
          </w:p>
        </w:tc>
        <w:tc>
          <w:tcPr>
            <w:tcW w:w="1678" w:type="dxa"/>
            <w:shd w:val="clear" w:color="auto" w:fill="BFBFBF" w:themeFill="background1" w:themeFillShade="BF"/>
          </w:tcPr>
          <w:p w:rsidR="008E22CA" w:rsidRPr="00F50C90" w:rsidRDefault="008E22CA" w:rsidP="0084164D">
            <w:pPr>
              <w:jc w:val="center"/>
              <w:rPr>
                <w:b/>
                <w:sz w:val="20"/>
              </w:rPr>
            </w:pPr>
            <w:r>
              <w:rPr>
                <w:b/>
                <w:sz w:val="20"/>
              </w:rPr>
              <w:t>7%</w:t>
            </w:r>
          </w:p>
        </w:tc>
        <w:tc>
          <w:tcPr>
            <w:tcW w:w="1679" w:type="dxa"/>
            <w:shd w:val="clear" w:color="auto" w:fill="BFBFBF" w:themeFill="background1" w:themeFillShade="BF"/>
          </w:tcPr>
          <w:p w:rsidR="008E22CA" w:rsidRPr="00F50C90" w:rsidRDefault="008E22CA" w:rsidP="0084164D">
            <w:pPr>
              <w:jc w:val="center"/>
              <w:rPr>
                <w:b/>
                <w:sz w:val="20"/>
              </w:rPr>
            </w:pPr>
            <w:r>
              <w:rPr>
                <w:b/>
                <w:sz w:val="20"/>
              </w:rPr>
              <w:t>3%</w:t>
            </w:r>
          </w:p>
        </w:tc>
      </w:tr>
      <w:tr w:rsidR="008E22CA" w:rsidRPr="00F50C90" w:rsidTr="0084164D">
        <w:tc>
          <w:tcPr>
            <w:tcW w:w="411" w:type="dxa"/>
          </w:tcPr>
          <w:p w:rsidR="008E22CA" w:rsidRPr="00F50C90" w:rsidRDefault="008E22CA" w:rsidP="0084164D">
            <w:pPr>
              <w:rPr>
                <w:sz w:val="20"/>
              </w:rPr>
            </w:pPr>
            <w:r w:rsidRPr="00F50C90">
              <w:rPr>
                <w:sz w:val="20"/>
              </w:rPr>
              <w:t>1</w:t>
            </w:r>
          </w:p>
        </w:tc>
        <w:tc>
          <w:tcPr>
            <w:tcW w:w="5700" w:type="dxa"/>
          </w:tcPr>
          <w:p w:rsidR="008E22CA" w:rsidRPr="00F50C90" w:rsidRDefault="008E22CA" w:rsidP="0084164D">
            <w:pPr>
              <w:rPr>
                <w:sz w:val="20"/>
              </w:rPr>
            </w:pPr>
            <w:r>
              <w:rPr>
                <w:sz w:val="20"/>
              </w:rPr>
              <w:t>Reduction in transportation costs due to reduced train delay</w:t>
            </w:r>
          </w:p>
        </w:tc>
        <w:tc>
          <w:tcPr>
            <w:tcW w:w="1678" w:type="dxa"/>
          </w:tcPr>
          <w:p w:rsidR="008E22CA" w:rsidRPr="00F50C90" w:rsidRDefault="008E22CA" w:rsidP="0084164D">
            <w:pPr>
              <w:jc w:val="center"/>
              <w:rPr>
                <w:sz w:val="20"/>
              </w:rPr>
            </w:pPr>
            <w:r>
              <w:rPr>
                <w:sz w:val="20"/>
              </w:rPr>
              <w:t>$20.55 million</w:t>
            </w:r>
          </w:p>
        </w:tc>
        <w:tc>
          <w:tcPr>
            <w:tcW w:w="1679" w:type="dxa"/>
          </w:tcPr>
          <w:p w:rsidR="008E22CA" w:rsidRPr="00F50C90" w:rsidRDefault="008E22CA" w:rsidP="0084164D">
            <w:pPr>
              <w:jc w:val="center"/>
              <w:rPr>
                <w:sz w:val="20"/>
              </w:rPr>
            </w:pPr>
            <w:r>
              <w:rPr>
                <w:sz w:val="20"/>
              </w:rPr>
              <w:t>$32.50 million</w:t>
            </w:r>
          </w:p>
        </w:tc>
      </w:tr>
      <w:tr w:rsidR="008E22CA" w:rsidRPr="00F50C90" w:rsidTr="0084164D">
        <w:tc>
          <w:tcPr>
            <w:tcW w:w="411" w:type="dxa"/>
          </w:tcPr>
          <w:p w:rsidR="008E22CA" w:rsidRPr="00F50C90" w:rsidRDefault="008E22CA" w:rsidP="0084164D">
            <w:pPr>
              <w:rPr>
                <w:sz w:val="20"/>
              </w:rPr>
            </w:pPr>
            <w:r w:rsidRPr="00F50C90">
              <w:rPr>
                <w:sz w:val="20"/>
              </w:rPr>
              <w:t>2</w:t>
            </w:r>
          </w:p>
        </w:tc>
        <w:tc>
          <w:tcPr>
            <w:tcW w:w="5700" w:type="dxa"/>
          </w:tcPr>
          <w:p w:rsidR="008E22CA" w:rsidRPr="00F50C90" w:rsidRDefault="008E22CA" w:rsidP="0084164D">
            <w:pPr>
              <w:rPr>
                <w:sz w:val="20"/>
              </w:rPr>
            </w:pPr>
            <w:r>
              <w:rPr>
                <w:sz w:val="20"/>
              </w:rPr>
              <w:t>Reduction in diesel locomotive emissions due to reduced train delay</w:t>
            </w:r>
          </w:p>
        </w:tc>
        <w:tc>
          <w:tcPr>
            <w:tcW w:w="1678" w:type="dxa"/>
          </w:tcPr>
          <w:p w:rsidR="008E22CA" w:rsidRPr="00F50C90" w:rsidRDefault="008E22CA" w:rsidP="0084164D">
            <w:pPr>
              <w:jc w:val="center"/>
              <w:rPr>
                <w:sz w:val="20"/>
              </w:rPr>
            </w:pPr>
            <w:r>
              <w:rPr>
                <w:sz w:val="20"/>
              </w:rPr>
              <w:t>$0.09 million</w:t>
            </w:r>
          </w:p>
        </w:tc>
        <w:tc>
          <w:tcPr>
            <w:tcW w:w="1679" w:type="dxa"/>
          </w:tcPr>
          <w:p w:rsidR="008E22CA" w:rsidRPr="00F50C90" w:rsidRDefault="008E22CA" w:rsidP="0084164D">
            <w:pPr>
              <w:jc w:val="center"/>
              <w:rPr>
                <w:sz w:val="20"/>
              </w:rPr>
            </w:pPr>
            <w:r>
              <w:rPr>
                <w:sz w:val="20"/>
              </w:rPr>
              <w:t>$0.14 million</w:t>
            </w:r>
          </w:p>
        </w:tc>
      </w:tr>
      <w:tr w:rsidR="008E22CA" w:rsidRPr="00F50C90" w:rsidTr="0084164D">
        <w:tc>
          <w:tcPr>
            <w:tcW w:w="411" w:type="dxa"/>
          </w:tcPr>
          <w:p w:rsidR="008E22CA" w:rsidRPr="00F50C90" w:rsidRDefault="008E22CA" w:rsidP="0084164D">
            <w:pPr>
              <w:rPr>
                <w:sz w:val="20"/>
              </w:rPr>
            </w:pPr>
            <w:r w:rsidRPr="00F50C90">
              <w:rPr>
                <w:sz w:val="20"/>
              </w:rPr>
              <w:t>3</w:t>
            </w:r>
          </w:p>
        </w:tc>
        <w:tc>
          <w:tcPr>
            <w:tcW w:w="5700" w:type="dxa"/>
          </w:tcPr>
          <w:p w:rsidR="008E22CA" w:rsidRPr="00F50C90" w:rsidRDefault="008E22CA" w:rsidP="0084164D">
            <w:pPr>
              <w:rPr>
                <w:sz w:val="20"/>
              </w:rPr>
            </w:pPr>
            <w:r>
              <w:rPr>
                <w:sz w:val="20"/>
              </w:rPr>
              <w:t>Reduction in truck emissions due to increased train capacity</w:t>
            </w:r>
          </w:p>
        </w:tc>
        <w:tc>
          <w:tcPr>
            <w:tcW w:w="1678" w:type="dxa"/>
          </w:tcPr>
          <w:p w:rsidR="008E22CA" w:rsidRPr="00F50C90" w:rsidRDefault="008E22CA" w:rsidP="0084164D">
            <w:pPr>
              <w:jc w:val="center"/>
              <w:rPr>
                <w:sz w:val="20"/>
              </w:rPr>
            </w:pPr>
            <w:r>
              <w:rPr>
                <w:sz w:val="20"/>
              </w:rPr>
              <w:t>$15.45 million</w:t>
            </w:r>
          </w:p>
        </w:tc>
        <w:tc>
          <w:tcPr>
            <w:tcW w:w="1679" w:type="dxa"/>
          </w:tcPr>
          <w:p w:rsidR="008E22CA" w:rsidRPr="00F50C90" w:rsidRDefault="008E22CA" w:rsidP="0084164D">
            <w:pPr>
              <w:jc w:val="center"/>
              <w:rPr>
                <w:sz w:val="20"/>
              </w:rPr>
            </w:pPr>
            <w:r>
              <w:rPr>
                <w:sz w:val="20"/>
              </w:rPr>
              <w:t>$30.34 million</w:t>
            </w:r>
          </w:p>
        </w:tc>
      </w:tr>
      <w:tr w:rsidR="008E22CA" w:rsidRPr="00F50C90" w:rsidTr="0084164D">
        <w:trPr>
          <w:trHeight w:val="188"/>
        </w:trPr>
        <w:tc>
          <w:tcPr>
            <w:tcW w:w="6111" w:type="dxa"/>
            <w:gridSpan w:val="2"/>
          </w:tcPr>
          <w:p w:rsidR="008E22CA" w:rsidRPr="005B1B7D" w:rsidRDefault="008E22CA" w:rsidP="0084164D">
            <w:pPr>
              <w:rPr>
                <w:b/>
                <w:sz w:val="20"/>
              </w:rPr>
            </w:pPr>
            <w:r w:rsidRPr="005B1B7D">
              <w:rPr>
                <w:b/>
                <w:sz w:val="20"/>
              </w:rPr>
              <w:t>Total</w:t>
            </w:r>
          </w:p>
        </w:tc>
        <w:tc>
          <w:tcPr>
            <w:tcW w:w="1678" w:type="dxa"/>
          </w:tcPr>
          <w:p w:rsidR="008E22CA" w:rsidRPr="005B1B7D" w:rsidRDefault="008E22CA" w:rsidP="0084164D">
            <w:pPr>
              <w:jc w:val="center"/>
              <w:rPr>
                <w:b/>
                <w:sz w:val="20"/>
              </w:rPr>
            </w:pPr>
            <w:r w:rsidRPr="005B1B7D">
              <w:rPr>
                <w:b/>
                <w:sz w:val="20"/>
              </w:rPr>
              <w:t>$3</w:t>
            </w:r>
            <w:r>
              <w:rPr>
                <w:b/>
                <w:sz w:val="20"/>
              </w:rPr>
              <w:t>6.09</w:t>
            </w:r>
            <w:r w:rsidRPr="005B1B7D">
              <w:rPr>
                <w:b/>
                <w:sz w:val="20"/>
              </w:rPr>
              <w:t xml:space="preserve"> million</w:t>
            </w:r>
          </w:p>
        </w:tc>
        <w:tc>
          <w:tcPr>
            <w:tcW w:w="1679" w:type="dxa"/>
          </w:tcPr>
          <w:p w:rsidR="008E22CA" w:rsidRPr="005B1B7D" w:rsidRDefault="008E22CA" w:rsidP="0084164D">
            <w:pPr>
              <w:jc w:val="center"/>
              <w:rPr>
                <w:b/>
                <w:sz w:val="20"/>
              </w:rPr>
            </w:pPr>
            <w:r w:rsidRPr="005B1B7D">
              <w:rPr>
                <w:b/>
                <w:sz w:val="20"/>
              </w:rPr>
              <w:t>$</w:t>
            </w:r>
            <w:r>
              <w:rPr>
                <w:b/>
                <w:sz w:val="20"/>
              </w:rPr>
              <w:t>62.98</w:t>
            </w:r>
            <w:r w:rsidRPr="005B1B7D">
              <w:rPr>
                <w:b/>
                <w:sz w:val="20"/>
              </w:rPr>
              <w:t xml:space="preserve"> million</w:t>
            </w:r>
          </w:p>
        </w:tc>
      </w:tr>
    </w:tbl>
    <w:p w:rsidR="008E22CA" w:rsidRPr="00E23328" w:rsidRDefault="008E22CA" w:rsidP="008E22CA">
      <w:pPr>
        <w:jc w:val="center"/>
        <w:rPr>
          <w:sz w:val="20"/>
        </w:rPr>
      </w:pPr>
      <w:r>
        <w:rPr>
          <w:sz w:val="20"/>
        </w:rPr>
        <w:t>Source: PTRA Data and PHA estimates</w:t>
      </w:r>
    </w:p>
    <w:p w:rsidR="008E22CA" w:rsidRDefault="008E22CA" w:rsidP="008E22CA">
      <w:pPr>
        <w:pStyle w:val="Heading4"/>
        <w:numPr>
          <w:ilvl w:val="0"/>
          <w:numId w:val="0"/>
        </w:numPr>
      </w:pPr>
      <w:r>
        <w:t>Reduction in Train Delay</w:t>
      </w:r>
    </w:p>
    <w:p w:rsidR="008E22CA" w:rsidRDefault="008E22CA" w:rsidP="008E22CA">
      <w:r>
        <w:t xml:space="preserve">The construction of the new bridge and second track, which will accommodate up to 40 trains per day, will eliminate delay on the Broadway Street Bridge.  If construction begins in 2015, then the alignment will become operational in 2016 and the cost of delay described in the baseline will be reduced to zero.  This cost savings, which will provide significant value to stakeholders of the Port, is shown in </w:t>
      </w:r>
      <w:r>
        <w:fldChar w:fldCharType="begin"/>
      </w:r>
      <w:r>
        <w:instrText xml:space="preserve"> REF _Ref384985990 \h </w:instrText>
      </w:r>
      <w:r>
        <w:fldChar w:fldCharType="separate"/>
      </w:r>
      <w:r>
        <w:t xml:space="preserve">Table </w:t>
      </w:r>
      <w:r>
        <w:rPr>
          <w:noProof/>
        </w:rPr>
        <w:t>9</w:t>
      </w:r>
      <w:r>
        <w:fldChar w:fldCharType="end"/>
      </w:r>
      <w:r>
        <w:t>.</w:t>
      </w:r>
    </w:p>
    <w:p w:rsidR="008E22CA" w:rsidRDefault="008E22CA" w:rsidP="008E22CA">
      <w:pPr>
        <w:pStyle w:val="Caption"/>
        <w:keepNext/>
      </w:pPr>
      <w:bookmarkStart w:id="11" w:name="_Ref384985990"/>
      <w:bookmarkStart w:id="12" w:name="_Toc386190669"/>
      <w:r>
        <w:lastRenderedPageBreak/>
        <w:t xml:space="preserve">Table </w:t>
      </w:r>
      <w:fldSimple w:instr=" SEQ Table \* ARABIC ">
        <w:r>
          <w:rPr>
            <w:noProof/>
          </w:rPr>
          <w:t>9</w:t>
        </w:r>
      </w:fldSimple>
      <w:bookmarkEnd w:id="11"/>
      <w:r>
        <w:t>: Savings from Reduction in Train Delay</w:t>
      </w:r>
      <w:bookmarkEnd w:id="12"/>
    </w:p>
    <w:tbl>
      <w:tblPr>
        <w:tblStyle w:val="TableGrid"/>
        <w:tblW w:w="0" w:type="auto"/>
        <w:jc w:val="center"/>
        <w:tblInd w:w="108" w:type="dxa"/>
        <w:tblLook w:val="04A0" w:firstRow="1" w:lastRow="0" w:firstColumn="1" w:lastColumn="0" w:noHBand="0" w:noVBand="1"/>
      </w:tblPr>
      <w:tblGrid>
        <w:gridCol w:w="2286"/>
        <w:gridCol w:w="2394"/>
        <w:gridCol w:w="2394"/>
        <w:gridCol w:w="2286"/>
      </w:tblGrid>
      <w:tr w:rsidR="008E22CA" w:rsidRPr="00FA3E88" w:rsidTr="0084164D">
        <w:trPr>
          <w:trHeight w:val="161"/>
          <w:jc w:val="center"/>
        </w:trPr>
        <w:tc>
          <w:tcPr>
            <w:tcW w:w="2286" w:type="dxa"/>
            <w:tcBorders>
              <w:top w:val="nil"/>
              <w:left w:val="nil"/>
              <w:bottom w:val="nil"/>
            </w:tcBorders>
          </w:tcPr>
          <w:p w:rsidR="008E22CA" w:rsidRPr="005B1B7D" w:rsidRDefault="008E22CA" w:rsidP="0084164D">
            <w:pPr>
              <w:jc w:val="left"/>
              <w:rPr>
                <w:sz w:val="20"/>
              </w:rPr>
            </w:pPr>
          </w:p>
        </w:tc>
        <w:tc>
          <w:tcPr>
            <w:tcW w:w="2394" w:type="dxa"/>
            <w:vMerge w:val="restart"/>
            <w:shd w:val="clear" w:color="auto" w:fill="BFBFBF" w:themeFill="background1" w:themeFillShade="BF"/>
            <w:vAlign w:val="center"/>
          </w:tcPr>
          <w:p w:rsidR="008E22CA" w:rsidRPr="005B1B7D" w:rsidRDefault="008E22CA" w:rsidP="0084164D">
            <w:pPr>
              <w:jc w:val="center"/>
              <w:rPr>
                <w:b/>
                <w:sz w:val="20"/>
              </w:rPr>
            </w:pPr>
            <w:r w:rsidRPr="005B1B7D">
              <w:rPr>
                <w:b/>
                <w:sz w:val="20"/>
              </w:rPr>
              <w:t>30</w:t>
            </w:r>
            <w:r>
              <w:rPr>
                <w:b/>
                <w:sz w:val="20"/>
              </w:rPr>
              <w:t>-</w:t>
            </w:r>
            <w:r w:rsidRPr="005B1B7D">
              <w:rPr>
                <w:b/>
                <w:sz w:val="20"/>
              </w:rPr>
              <w:t>Year Delay</w:t>
            </w:r>
          </w:p>
        </w:tc>
        <w:tc>
          <w:tcPr>
            <w:tcW w:w="4680" w:type="dxa"/>
            <w:gridSpan w:val="2"/>
            <w:shd w:val="clear" w:color="auto" w:fill="BFBFBF" w:themeFill="background1" w:themeFillShade="BF"/>
          </w:tcPr>
          <w:p w:rsidR="008E22CA" w:rsidRPr="005B1B7D" w:rsidRDefault="008E22CA" w:rsidP="0084164D">
            <w:pPr>
              <w:jc w:val="center"/>
              <w:rPr>
                <w:b/>
                <w:sz w:val="20"/>
              </w:rPr>
            </w:pPr>
            <w:r>
              <w:rPr>
                <w:b/>
                <w:sz w:val="20"/>
              </w:rPr>
              <w:t>30-Year Present Value Cost of Delay</w:t>
            </w:r>
          </w:p>
        </w:tc>
      </w:tr>
      <w:tr w:rsidR="008E22CA" w:rsidRPr="00FA3E88" w:rsidTr="0084164D">
        <w:trPr>
          <w:trHeight w:val="170"/>
          <w:jc w:val="center"/>
        </w:trPr>
        <w:tc>
          <w:tcPr>
            <w:tcW w:w="2286" w:type="dxa"/>
            <w:tcBorders>
              <w:top w:val="nil"/>
              <w:left w:val="nil"/>
            </w:tcBorders>
          </w:tcPr>
          <w:p w:rsidR="008E22CA" w:rsidRPr="005B1B7D" w:rsidRDefault="008E22CA" w:rsidP="0084164D">
            <w:pPr>
              <w:jc w:val="left"/>
              <w:rPr>
                <w:sz w:val="20"/>
              </w:rPr>
            </w:pPr>
          </w:p>
        </w:tc>
        <w:tc>
          <w:tcPr>
            <w:tcW w:w="2394" w:type="dxa"/>
            <w:vMerge/>
            <w:shd w:val="clear" w:color="auto" w:fill="BFBFBF" w:themeFill="background1" w:themeFillShade="BF"/>
          </w:tcPr>
          <w:p w:rsidR="008E22CA" w:rsidRPr="005B1B7D" w:rsidRDefault="008E22CA" w:rsidP="0084164D">
            <w:pPr>
              <w:jc w:val="center"/>
              <w:rPr>
                <w:b/>
                <w:sz w:val="20"/>
              </w:rPr>
            </w:pPr>
          </w:p>
        </w:tc>
        <w:tc>
          <w:tcPr>
            <w:tcW w:w="2394" w:type="dxa"/>
            <w:shd w:val="clear" w:color="auto" w:fill="BFBFBF" w:themeFill="background1" w:themeFillShade="BF"/>
          </w:tcPr>
          <w:p w:rsidR="008E22CA" w:rsidRPr="005B1B7D" w:rsidRDefault="008E22CA" w:rsidP="0084164D">
            <w:pPr>
              <w:jc w:val="center"/>
              <w:rPr>
                <w:b/>
                <w:sz w:val="20"/>
              </w:rPr>
            </w:pPr>
            <w:r w:rsidRPr="005B1B7D">
              <w:rPr>
                <w:b/>
                <w:sz w:val="20"/>
              </w:rPr>
              <w:t>7%</w:t>
            </w:r>
          </w:p>
        </w:tc>
        <w:tc>
          <w:tcPr>
            <w:tcW w:w="2286" w:type="dxa"/>
            <w:shd w:val="clear" w:color="auto" w:fill="BFBFBF" w:themeFill="background1" w:themeFillShade="BF"/>
          </w:tcPr>
          <w:p w:rsidR="008E22CA" w:rsidRPr="005B1B7D" w:rsidRDefault="008E22CA" w:rsidP="0084164D">
            <w:pPr>
              <w:jc w:val="center"/>
              <w:rPr>
                <w:b/>
                <w:sz w:val="20"/>
              </w:rPr>
            </w:pPr>
            <w:r w:rsidRPr="005B1B7D">
              <w:rPr>
                <w:b/>
                <w:sz w:val="20"/>
              </w:rPr>
              <w:t>3%</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sidRPr="005B1B7D">
              <w:rPr>
                <w:b/>
                <w:sz w:val="20"/>
              </w:rPr>
              <w:t>Baseline Scenario</w:t>
            </w:r>
          </w:p>
        </w:tc>
        <w:tc>
          <w:tcPr>
            <w:tcW w:w="2394" w:type="dxa"/>
          </w:tcPr>
          <w:p w:rsidR="008E22CA" w:rsidRPr="005B1B7D" w:rsidRDefault="008E22CA" w:rsidP="0084164D">
            <w:pPr>
              <w:jc w:val="right"/>
              <w:rPr>
                <w:sz w:val="20"/>
              </w:rPr>
            </w:pPr>
            <w:r>
              <w:rPr>
                <w:sz w:val="20"/>
              </w:rPr>
              <w:t>50,370 Hours</w:t>
            </w:r>
          </w:p>
        </w:tc>
        <w:tc>
          <w:tcPr>
            <w:tcW w:w="2394" w:type="dxa"/>
          </w:tcPr>
          <w:p w:rsidR="008E22CA" w:rsidRPr="005B1B7D" w:rsidRDefault="008E22CA" w:rsidP="0084164D">
            <w:pPr>
              <w:jc w:val="right"/>
              <w:rPr>
                <w:sz w:val="20"/>
              </w:rPr>
            </w:pPr>
            <w:r>
              <w:rPr>
                <w:sz w:val="20"/>
              </w:rPr>
              <w:t>$21.5 million</w:t>
            </w:r>
          </w:p>
        </w:tc>
        <w:tc>
          <w:tcPr>
            <w:tcW w:w="2286" w:type="dxa"/>
          </w:tcPr>
          <w:p w:rsidR="008E22CA" w:rsidRPr="005B1B7D" w:rsidRDefault="008E22CA" w:rsidP="0084164D">
            <w:pPr>
              <w:jc w:val="right"/>
              <w:rPr>
                <w:sz w:val="20"/>
              </w:rPr>
            </w:pPr>
            <w:r>
              <w:rPr>
                <w:sz w:val="20"/>
              </w:rPr>
              <w:t>$33.4 million</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sidRPr="005B1B7D">
              <w:rPr>
                <w:b/>
                <w:sz w:val="20"/>
              </w:rPr>
              <w:t>Investment Scenario</w:t>
            </w:r>
          </w:p>
        </w:tc>
        <w:tc>
          <w:tcPr>
            <w:tcW w:w="2394" w:type="dxa"/>
          </w:tcPr>
          <w:p w:rsidR="008E22CA" w:rsidRPr="009D31EB" w:rsidRDefault="008E22CA" w:rsidP="0084164D">
            <w:pPr>
              <w:jc w:val="right"/>
              <w:rPr>
                <w:sz w:val="20"/>
              </w:rPr>
            </w:pPr>
            <w:r>
              <w:rPr>
                <w:sz w:val="20"/>
              </w:rPr>
              <w:t>913 Hours</w:t>
            </w:r>
          </w:p>
        </w:tc>
        <w:tc>
          <w:tcPr>
            <w:tcW w:w="2394" w:type="dxa"/>
          </w:tcPr>
          <w:p w:rsidR="008E22CA" w:rsidRPr="009D31EB" w:rsidRDefault="008E22CA" w:rsidP="0084164D">
            <w:pPr>
              <w:jc w:val="right"/>
              <w:rPr>
                <w:sz w:val="20"/>
              </w:rPr>
            </w:pPr>
            <w:r>
              <w:rPr>
                <w:sz w:val="20"/>
              </w:rPr>
              <w:t>$0.9 million</w:t>
            </w:r>
          </w:p>
        </w:tc>
        <w:tc>
          <w:tcPr>
            <w:tcW w:w="2286" w:type="dxa"/>
          </w:tcPr>
          <w:p w:rsidR="008E22CA" w:rsidRPr="009D31EB" w:rsidRDefault="008E22CA" w:rsidP="0084164D">
            <w:pPr>
              <w:jc w:val="right"/>
              <w:rPr>
                <w:sz w:val="20"/>
              </w:rPr>
            </w:pPr>
            <w:r>
              <w:rPr>
                <w:sz w:val="20"/>
              </w:rPr>
              <w:t>$0.9 million</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Pr>
                <w:b/>
                <w:sz w:val="20"/>
              </w:rPr>
              <w:t>Benefit (</w:t>
            </w:r>
            <w:r w:rsidRPr="005B1B7D">
              <w:rPr>
                <w:b/>
                <w:sz w:val="20"/>
              </w:rPr>
              <w:t>Savings</w:t>
            </w:r>
            <w:r>
              <w:rPr>
                <w:b/>
                <w:sz w:val="20"/>
              </w:rPr>
              <w:t>)</w:t>
            </w:r>
          </w:p>
        </w:tc>
        <w:tc>
          <w:tcPr>
            <w:tcW w:w="2394" w:type="dxa"/>
          </w:tcPr>
          <w:p w:rsidR="008E22CA" w:rsidRPr="005B1B7D" w:rsidRDefault="008E22CA" w:rsidP="0084164D">
            <w:pPr>
              <w:jc w:val="right"/>
              <w:rPr>
                <w:b/>
                <w:sz w:val="20"/>
              </w:rPr>
            </w:pPr>
            <w:r w:rsidRPr="005B1B7D">
              <w:rPr>
                <w:b/>
                <w:sz w:val="20"/>
              </w:rPr>
              <w:t>49,4</w:t>
            </w:r>
            <w:r>
              <w:rPr>
                <w:b/>
                <w:sz w:val="20"/>
              </w:rPr>
              <w:t>58</w:t>
            </w:r>
            <w:r w:rsidRPr="005B1B7D">
              <w:rPr>
                <w:b/>
                <w:sz w:val="20"/>
              </w:rPr>
              <w:t xml:space="preserve"> Hours</w:t>
            </w:r>
          </w:p>
        </w:tc>
        <w:tc>
          <w:tcPr>
            <w:tcW w:w="2394" w:type="dxa"/>
          </w:tcPr>
          <w:p w:rsidR="008E22CA" w:rsidRPr="005B1B7D" w:rsidRDefault="008E22CA" w:rsidP="0084164D">
            <w:pPr>
              <w:jc w:val="right"/>
              <w:rPr>
                <w:b/>
                <w:sz w:val="20"/>
              </w:rPr>
            </w:pPr>
            <w:r>
              <w:rPr>
                <w:b/>
                <w:sz w:val="20"/>
              </w:rPr>
              <w:t>$20.6 million</w:t>
            </w:r>
          </w:p>
        </w:tc>
        <w:tc>
          <w:tcPr>
            <w:tcW w:w="2286" w:type="dxa"/>
          </w:tcPr>
          <w:p w:rsidR="008E22CA" w:rsidRPr="005B1B7D" w:rsidRDefault="008E22CA" w:rsidP="0084164D">
            <w:pPr>
              <w:jc w:val="right"/>
              <w:rPr>
                <w:b/>
                <w:sz w:val="20"/>
              </w:rPr>
            </w:pPr>
            <w:r>
              <w:rPr>
                <w:b/>
                <w:sz w:val="20"/>
              </w:rPr>
              <w:t>$32.5 million</w:t>
            </w:r>
          </w:p>
        </w:tc>
      </w:tr>
    </w:tbl>
    <w:p w:rsidR="008E22CA" w:rsidRDefault="008E22CA" w:rsidP="008E22CA">
      <w:pPr>
        <w:jc w:val="center"/>
      </w:pPr>
      <w:r w:rsidRPr="00E23328">
        <w:rPr>
          <w:sz w:val="20"/>
        </w:rPr>
        <w:t>Source: PTRA data and PHA estimates</w:t>
      </w:r>
    </w:p>
    <w:p w:rsidR="008E22CA" w:rsidRDefault="008E22CA" w:rsidP="008E22CA">
      <w:pPr>
        <w:jc w:val="left"/>
      </w:pPr>
      <w:r>
        <w:t xml:space="preserve">When compared to the baseline, delays with the bridge and second track investment are reduced dramatically, reducing transportation costs for rail operators on the alignment.  </w:t>
      </w:r>
    </w:p>
    <w:p w:rsidR="00914FCD" w:rsidRDefault="00914FCD" w:rsidP="00914FCD">
      <w:pPr>
        <w:pStyle w:val="Heading4"/>
        <w:numPr>
          <w:ilvl w:val="0"/>
          <w:numId w:val="0"/>
        </w:numPr>
      </w:pPr>
      <w:bookmarkStart w:id="13" w:name="_Ref384894166"/>
      <w:r>
        <w:t>Reduction in Diesel Locomotive Emissions</w:t>
      </w:r>
    </w:p>
    <w:p w:rsidR="00914FCD" w:rsidRDefault="00914FCD" w:rsidP="00914FCD">
      <w:r>
        <w:t xml:space="preserve">Reductions in delay on the track will lead to reductions in emissions as trains consume less fuel.  As trains spend less time idling due to the addition of the second track, locomotives will emit less particulate matter, volatile organic compounds, nitrogen oxides, sulfur dioxide, and carbon dioxide.  These pollutants impose a cost on society.  To monetize the value of reducing these emissions, the PHA relied on research conducted by the National Highway Traffic Safety Administration (NHTSA).  </w:t>
      </w:r>
      <w:r>
        <w:fldChar w:fldCharType="begin"/>
      </w:r>
      <w:r>
        <w:instrText xml:space="preserve"> REF _Ref384988559 \h </w:instrText>
      </w:r>
      <w:r>
        <w:fldChar w:fldCharType="separate"/>
      </w:r>
      <w:r>
        <w:t xml:space="preserve">Table </w:t>
      </w:r>
      <w:r>
        <w:rPr>
          <w:noProof/>
        </w:rPr>
        <w:t>10</w:t>
      </w:r>
      <w:r>
        <w:fldChar w:fldCharType="end"/>
      </w:r>
      <w:r>
        <w:t xml:space="preserve"> compares emission on the alignment from diesel locomotives under the baseline and investment scenario.</w:t>
      </w:r>
    </w:p>
    <w:p w:rsidR="00914FCD" w:rsidRDefault="00914FCD" w:rsidP="00914FCD">
      <w:pPr>
        <w:pStyle w:val="Caption"/>
      </w:pPr>
      <w:bookmarkStart w:id="14" w:name="_Ref384988559"/>
      <w:bookmarkStart w:id="15" w:name="_Toc386190670"/>
      <w:r>
        <w:t xml:space="preserve">Table </w:t>
      </w:r>
      <w:fldSimple w:instr=" SEQ Table \* ARABIC ">
        <w:r>
          <w:rPr>
            <w:noProof/>
          </w:rPr>
          <w:t>10</w:t>
        </w:r>
      </w:fldSimple>
      <w:bookmarkEnd w:id="14"/>
      <w:r>
        <w:t>: Savings from Reduction in Diesel Locomotive Emissions</w:t>
      </w:r>
      <w:bookmarkEnd w:id="15"/>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5B1B7D" w:rsidRDefault="00914FCD" w:rsidP="0084164D">
            <w:pPr>
              <w:jc w:val="left"/>
              <w:rPr>
                <w:sz w:val="20"/>
              </w:rPr>
            </w:pPr>
          </w:p>
        </w:tc>
        <w:tc>
          <w:tcPr>
            <w:tcW w:w="4680" w:type="dxa"/>
            <w:gridSpan w:val="2"/>
            <w:shd w:val="clear" w:color="auto" w:fill="BFBFBF" w:themeFill="background1" w:themeFillShade="BF"/>
          </w:tcPr>
          <w:p w:rsidR="00914FCD" w:rsidRPr="005B1B7D" w:rsidRDefault="00914FCD"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914FCD" w:rsidRPr="00FA3E88" w:rsidTr="0084164D">
        <w:trPr>
          <w:jc w:val="center"/>
        </w:trPr>
        <w:tc>
          <w:tcPr>
            <w:tcW w:w="2286" w:type="dxa"/>
            <w:tcBorders>
              <w:top w:val="nil"/>
              <w:left w:val="nil"/>
            </w:tcBorders>
          </w:tcPr>
          <w:p w:rsidR="00914FCD" w:rsidRPr="005B1B7D" w:rsidRDefault="00914FCD" w:rsidP="0084164D">
            <w:pPr>
              <w:jc w:val="left"/>
              <w:rPr>
                <w:sz w:val="20"/>
              </w:rPr>
            </w:pPr>
          </w:p>
        </w:tc>
        <w:tc>
          <w:tcPr>
            <w:tcW w:w="2394" w:type="dxa"/>
            <w:shd w:val="clear" w:color="auto" w:fill="BFBFBF" w:themeFill="background1" w:themeFillShade="BF"/>
          </w:tcPr>
          <w:p w:rsidR="00914FCD" w:rsidRPr="005B1B7D" w:rsidRDefault="00914FCD" w:rsidP="0084164D">
            <w:pPr>
              <w:jc w:val="center"/>
              <w:rPr>
                <w:b/>
                <w:sz w:val="20"/>
              </w:rPr>
            </w:pPr>
            <w:r w:rsidRPr="005B1B7D">
              <w:rPr>
                <w:b/>
                <w:sz w:val="20"/>
              </w:rPr>
              <w:t>7%</w:t>
            </w:r>
          </w:p>
        </w:tc>
        <w:tc>
          <w:tcPr>
            <w:tcW w:w="2286" w:type="dxa"/>
            <w:shd w:val="clear" w:color="auto" w:fill="BFBFBF" w:themeFill="background1" w:themeFillShade="BF"/>
          </w:tcPr>
          <w:p w:rsidR="00914FCD" w:rsidRPr="005B1B7D" w:rsidRDefault="00914FCD" w:rsidP="0084164D">
            <w:pPr>
              <w:jc w:val="center"/>
              <w:rPr>
                <w:b/>
                <w:sz w:val="20"/>
              </w:rPr>
            </w:pPr>
            <w:r w:rsidRPr="005B1B7D">
              <w:rPr>
                <w:b/>
                <w:sz w:val="20"/>
              </w:rPr>
              <w:t>3%</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sidRPr="005B1B7D">
              <w:rPr>
                <w:b/>
                <w:sz w:val="20"/>
              </w:rPr>
              <w:t>Baseline Scenario</w:t>
            </w:r>
          </w:p>
        </w:tc>
        <w:tc>
          <w:tcPr>
            <w:tcW w:w="2394" w:type="dxa"/>
          </w:tcPr>
          <w:p w:rsidR="00914FCD" w:rsidRPr="005B1B7D" w:rsidRDefault="00914FCD" w:rsidP="0084164D">
            <w:pPr>
              <w:jc w:val="right"/>
              <w:rPr>
                <w:sz w:val="20"/>
              </w:rPr>
            </w:pPr>
            <w:r>
              <w:rPr>
                <w:sz w:val="20"/>
              </w:rPr>
              <w:t>$0.1 million</w:t>
            </w:r>
          </w:p>
        </w:tc>
        <w:tc>
          <w:tcPr>
            <w:tcW w:w="2286" w:type="dxa"/>
          </w:tcPr>
          <w:p w:rsidR="00914FCD" w:rsidRPr="005B1B7D" w:rsidRDefault="00914FCD" w:rsidP="0084164D">
            <w:pPr>
              <w:jc w:val="right"/>
              <w:rPr>
                <w:sz w:val="20"/>
              </w:rPr>
            </w:pPr>
            <w:r>
              <w:rPr>
                <w:sz w:val="20"/>
              </w:rPr>
              <w:t>$0.1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sidRPr="005B1B7D">
              <w:rPr>
                <w:b/>
                <w:sz w:val="20"/>
              </w:rPr>
              <w:t>Investment Scenario</w:t>
            </w:r>
          </w:p>
        </w:tc>
        <w:tc>
          <w:tcPr>
            <w:tcW w:w="2394" w:type="dxa"/>
          </w:tcPr>
          <w:p w:rsidR="00914FCD" w:rsidRPr="009D31EB" w:rsidRDefault="00914FCD" w:rsidP="0084164D">
            <w:pPr>
              <w:jc w:val="right"/>
              <w:rPr>
                <w:sz w:val="20"/>
              </w:rPr>
            </w:pPr>
            <w:r>
              <w:rPr>
                <w:sz w:val="20"/>
              </w:rPr>
              <w:t>$0.0 million</w:t>
            </w:r>
          </w:p>
        </w:tc>
        <w:tc>
          <w:tcPr>
            <w:tcW w:w="2286" w:type="dxa"/>
          </w:tcPr>
          <w:p w:rsidR="00914FCD" w:rsidRPr="009D31EB" w:rsidRDefault="00914FCD" w:rsidP="0084164D">
            <w:pPr>
              <w:jc w:val="right"/>
              <w:rPr>
                <w:sz w:val="20"/>
              </w:rPr>
            </w:pPr>
            <w:r>
              <w:rPr>
                <w:sz w:val="20"/>
              </w:rPr>
              <w:t>$0.0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Benefit (</w:t>
            </w:r>
            <w:r w:rsidRPr="005B1B7D">
              <w:rPr>
                <w:b/>
                <w:sz w:val="20"/>
              </w:rPr>
              <w:t>Savings</w:t>
            </w:r>
            <w:r>
              <w:rPr>
                <w:b/>
                <w:sz w:val="20"/>
              </w:rPr>
              <w:t>)</w:t>
            </w:r>
          </w:p>
        </w:tc>
        <w:tc>
          <w:tcPr>
            <w:tcW w:w="2394" w:type="dxa"/>
          </w:tcPr>
          <w:p w:rsidR="00914FCD" w:rsidRPr="005B1B7D" w:rsidRDefault="00914FCD" w:rsidP="0084164D">
            <w:pPr>
              <w:jc w:val="right"/>
              <w:rPr>
                <w:b/>
                <w:sz w:val="20"/>
              </w:rPr>
            </w:pPr>
            <w:r>
              <w:rPr>
                <w:b/>
                <w:sz w:val="20"/>
              </w:rPr>
              <w:t>$0.1 million</w:t>
            </w:r>
          </w:p>
        </w:tc>
        <w:tc>
          <w:tcPr>
            <w:tcW w:w="2286" w:type="dxa"/>
          </w:tcPr>
          <w:p w:rsidR="00914FCD" w:rsidRPr="005B1B7D" w:rsidRDefault="00914FCD" w:rsidP="0084164D">
            <w:pPr>
              <w:jc w:val="right"/>
              <w:rPr>
                <w:b/>
                <w:sz w:val="20"/>
              </w:rPr>
            </w:pPr>
            <w:r>
              <w:rPr>
                <w:b/>
                <w:sz w:val="20"/>
              </w:rPr>
              <w:t>$0.1 million</w:t>
            </w:r>
          </w:p>
        </w:tc>
      </w:tr>
    </w:tbl>
    <w:p w:rsidR="00914FCD" w:rsidRPr="0045679B" w:rsidRDefault="00914FCD" w:rsidP="00914FCD">
      <w:pPr>
        <w:jc w:val="center"/>
        <w:rPr>
          <w:sz w:val="20"/>
        </w:rPr>
      </w:pPr>
      <w:r w:rsidRPr="0045679B">
        <w:rPr>
          <w:sz w:val="20"/>
        </w:rPr>
        <w:t>Source</w:t>
      </w:r>
      <w:r>
        <w:rPr>
          <w:sz w:val="20"/>
        </w:rPr>
        <w:t>: PTRA</w:t>
      </w:r>
      <w:r w:rsidRPr="0045679B">
        <w:rPr>
          <w:sz w:val="20"/>
        </w:rPr>
        <w:t xml:space="preserve"> data and PHA estimates</w:t>
      </w:r>
    </w:p>
    <w:bookmarkEnd w:id="13"/>
    <w:p w:rsidR="00914FCD" w:rsidRDefault="00914FCD" w:rsidP="00914FCD">
      <w:pPr>
        <w:pStyle w:val="Heading4"/>
        <w:numPr>
          <w:ilvl w:val="0"/>
          <w:numId w:val="0"/>
        </w:numPr>
      </w:pPr>
      <w:r>
        <w:t>Reduction in Emissions from Substitution of Train Shipments for Truck Shipments</w:t>
      </w:r>
    </w:p>
    <w:p w:rsidR="00914FCD" w:rsidRDefault="00914FCD" w:rsidP="00914FCD">
      <w:r>
        <w:t xml:space="preserve">The new double track will also allow shippers that utilize the POH to send more freight via rail.  The substitution of rail transportation for truck transportation, in particular, will generate additional reductions in emissions as trains are more energy efficient than trucks on average.  Based on PTRA data, the PHA estimates that 24 percent of the new freight </w:t>
      </w:r>
      <w:r>
        <w:lastRenderedPageBreak/>
        <w:t>train traffic enabled by the new alignment could have been shipped via truck without the investment.  Moving that freight volume from trucks to trains will reduce emissions in the Houston area and improve local air quality.</w:t>
      </w:r>
    </w:p>
    <w:p w:rsidR="00914FCD" w:rsidRDefault="00914FCD" w:rsidP="00914FCD">
      <w:pPr>
        <w:pStyle w:val="Caption"/>
      </w:pPr>
      <w:bookmarkStart w:id="16" w:name="_Toc386190678"/>
      <w:r>
        <w:t xml:space="preserve">Figure </w:t>
      </w:r>
      <w:fldSimple w:instr=" SEQ Figure \* ARABIC ">
        <w:r>
          <w:rPr>
            <w:noProof/>
          </w:rPr>
          <w:t>3</w:t>
        </w:r>
      </w:fldSimple>
      <w:r>
        <w:t>: Savings from Reduced Emissions from Substitution of Train for Truck Traffic</w:t>
      </w:r>
      <w:bookmarkEnd w:id="16"/>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5B1B7D" w:rsidRDefault="00914FCD" w:rsidP="0084164D">
            <w:pPr>
              <w:jc w:val="left"/>
              <w:rPr>
                <w:sz w:val="20"/>
              </w:rPr>
            </w:pPr>
          </w:p>
        </w:tc>
        <w:tc>
          <w:tcPr>
            <w:tcW w:w="4680" w:type="dxa"/>
            <w:gridSpan w:val="2"/>
            <w:shd w:val="clear" w:color="auto" w:fill="BFBFBF" w:themeFill="background1" w:themeFillShade="BF"/>
          </w:tcPr>
          <w:p w:rsidR="00914FCD" w:rsidRPr="005B1B7D" w:rsidRDefault="00914FCD"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914FCD" w:rsidRPr="00FA3E88" w:rsidTr="0084164D">
        <w:trPr>
          <w:jc w:val="center"/>
        </w:trPr>
        <w:tc>
          <w:tcPr>
            <w:tcW w:w="2286" w:type="dxa"/>
            <w:tcBorders>
              <w:top w:val="nil"/>
              <w:left w:val="nil"/>
            </w:tcBorders>
          </w:tcPr>
          <w:p w:rsidR="00914FCD" w:rsidRPr="005B1B7D" w:rsidRDefault="00914FCD" w:rsidP="0084164D">
            <w:pPr>
              <w:jc w:val="left"/>
              <w:rPr>
                <w:sz w:val="20"/>
              </w:rPr>
            </w:pPr>
          </w:p>
        </w:tc>
        <w:tc>
          <w:tcPr>
            <w:tcW w:w="2394" w:type="dxa"/>
            <w:shd w:val="clear" w:color="auto" w:fill="BFBFBF" w:themeFill="background1" w:themeFillShade="BF"/>
          </w:tcPr>
          <w:p w:rsidR="00914FCD" w:rsidRPr="005B1B7D" w:rsidRDefault="00914FCD" w:rsidP="0084164D">
            <w:pPr>
              <w:jc w:val="center"/>
              <w:rPr>
                <w:b/>
                <w:sz w:val="20"/>
              </w:rPr>
            </w:pPr>
            <w:r w:rsidRPr="005B1B7D">
              <w:rPr>
                <w:b/>
                <w:sz w:val="20"/>
              </w:rPr>
              <w:t>7%</w:t>
            </w:r>
          </w:p>
        </w:tc>
        <w:tc>
          <w:tcPr>
            <w:tcW w:w="2286" w:type="dxa"/>
            <w:shd w:val="clear" w:color="auto" w:fill="BFBFBF" w:themeFill="background1" w:themeFillShade="BF"/>
          </w:tcPr>
          <w:p w:rsidR="00914FCD" w:rsidRPr="005B1B7D" w:rsidRDefault="00914FCD" w:rsidP="0084164D">
            <w:pPr>
              <w:jc w:val="center"/>
              <w:rPr>
                <w:b/>
                <w:sz w:val="20"/>
              </w:rPr>
            </w:pPr>
            <w:r w:rsidRPr="005B1B7D">
              <w:rPr>
                <w:b/>
                <w:sz w:val="20"/>
              </w:rPr>
              <w:t>3%</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Benefit (</w:t>
            </w:r>
            <w:r w:rsidRPr="005B1B7D">
              <w:rPr>
                <w:b/>
                <w:sz w:val="20"/>
              </w:rPr>
              <w:t>Savings</w:t>
            </w:r>
            <w:r>
              <w:rPr>
                <w:b/>
                <w:sz w:val="20"/>
              </w:rPr>
              <w:t>)</w:t>
            </w:r>
          </w:p>
        </w:tc>
        <w:tc>
          <w:tcPr>
            <w:tcW w:w="2394" w:type="dxa"/>
          </w:tcPr>
          <w:p w:rsidR="00914FCD" w:rsidRPr="008418EF" w:rsidRDefault="00914FCD" w:rsidP="0084164D">
            <w:pPr>
              <w:jc w:val="right"/>
              <w:rPr>
                <w:sz w:val="20"/>
              </w:rPr>
            </w:pPr>
            <w:r w:rsidRPr="008418EF">
              <w:rPr>
                <w:sz w:val="20"/>
              </w:rPr>
              <w:t>$</w:t>
            </w:r>
            <w:r>
              <w:rPr>
                <w:sz w:val="20"/>
              </w:rPr>
              <w:t>15.5</w:t>
            </w:r>
            <w:r w:rsidRPr="008418EF">
              <w:rPr>
                <w:sz w:val="20"/>
              </w:rPr>
              <w:t xml:space="preserve"> million</w:t>
            </w:r>
          </w:p>
        </w:tc>
        <w:tc>
          <w:tcPr>
            <w:tcW w:w="2286" w:type="dxa"/>
          </w:tcPr>
          <w:p w:rsidR="00914FCD" w:rsidRPr="008418EF" w:rsidRDefault="00914FCD" w:rsidP="0084164D">
            <w:pPr>
              <w:jc w:val="right"/>
              <w:rPr>
                <w:sz w:val="20"/>
              </w:rPr>
            </w:pPr>
            <w:r w:rsidRPr="008418EF">
              <w:rPr>
                <w:sz w:val="20"/>
              </w:rPr>
              <w:t>$</w:t>
            </w:r>
            <w:r>
              <w:rPr>
                <w:sz w:val="20"/>
              </w:rPr>
              <w:t>30.3</w:t>
            </w:r>
            <w:r w:rsidRPr="008418EF">
              <w:rPr>
                <w:sz w:val="20"/>
              </w:rPr>
              <w:t xml:space="preserve"> million</w:t>
            </w:r>
          </w:p>
        </w:tc>
      </w:tr>
    </w:tbl>
    <w:p w:rsidR="00CB00C2" w:rsidRDefault="00CB00C2" w:rsidP="007D0F79">
      <w:pPr>
        <w:pStyle w:val="Heading4"/>
        <w:numPr>
          <w:ilvl w:val="0"/>
          <w:numId w:val="0"/>
        </w:numPr>
      </w:pPr>
      <w:bookmarkStart w:id="17" w:name="_GoBack"/>
      <w:bookmarkEnd w:id="17"/>
    </w:p>
    <w:sectPr w:rsidR="00C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C61"/>
    <w:multiLevelType w:val="hybridMultilevel"/>
    <w:tmpl w:val="272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734AE"/>
    <w:multiLevelType w:val="hybridMultilevel"/>
    <w:tmpl w:val="708C2128"/>
    <w:lvl w:ilvl="0" w:tplc="B9BE2308">
      <w:start w:val="1"/>
      <w:numFmt w:val="lowerRoman"/>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7350211"/>
    <w:multiLevelType w:val="multilevel"/>
    <w:tmpl w:val="A32652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CA"/>
    <w:rsid w:val="002D520B"/>
    <w:rsid w:val="003034E7"/>
    <w:rsid w:val="00372C53"/>
    <w:rsid w:val="003D7AAC"/>
    <w:rsid w:val="004770F3"/>
    <w:rsid w:val="00480985"/>
    <w:rsid w:val="007D0F79"/>
    <w:rsid w:val="008853F5"/>
    <w:rsid w:val="008E22CA"/>
    <w:rsid w:val="00914FCD"/>
    <w:rsid w:val="00BE23D1"/>
    <w:rsid w:val="00BF75D3"/>
    <w:rsid w:val="00C0206E"/>
    <w:rsid w:val="00CB00C2"/>
    <w:rsid w:val="00FD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CA"/>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8E22CA"/>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E22CA"/>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22C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2CA"/>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E22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22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22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22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22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CA"/>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8E22CA"/>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8E22CA"/>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8E22CA"/>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8E22CA"/>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8E22CA"/>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8E22CA"/>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8E22CA"/>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8E22CA"/>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8E22CA"/>
    <w:pPr>
      <w:spacing w:after="120" w:line="240" w:lineRule="auto"/>
      <w:jc w:val="center"/>
    </w:pPr>
    <w:rPr>
      <w:b/>
      <w:bCs/>
      <w:sz w:val="20"/>
      <w:szCs w:val="18"/>
    </w:rPr>
  </w:style>
  <w:style w:type="table" w:styleId="TableGrid">
    <w:name w:val="Table Grid"/>
    <w:basedOn w:val="TableNormal"/>
    <w:rsid w:val="008E22C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CA"/>
    <w:rPr>
      <w:rFonts w:ascii="Tahoma" w:eastAsia="Times New Roman" w:hAnsi="Tahoma" w:cs="Tahoma"/>
      <w:spacing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CA"/>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8E22CA"/>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E22CA"/>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22C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2CA"/>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E22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22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22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22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22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CA"/>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8E22CA"/>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8E22CA"/>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8E22CA"/>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8E22CA"/>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8E22CA"/>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8E22CA"/>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8E22CA"/>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8E22CA"/>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8E22CA"/>
    <w:pPr>
      <w:spacing w:after="120" w:line="240" w:lineRule="auto"/>
      <w:jc w:val="center"/>
    </w:pPr>
    <w:rPr>
      <w:b/>
      <w:bCs/>
      <w:sz w:val="20"/>
      <w:szCs w:val="18"/>
    </w:rPr>
  </w:style>
  <w:style w:type="table" w:styleId="TableGrid">
    <w:name w:val="Table Grid"/>
    <w:basedOn w:val="TableNormal"/>
    <w:rsid w:val="008E22C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CA"/>
    <w:rPr>
      <w:rFonts w:ascii="Tahoma" w:eastAsia="Times New Roman" w:hAnsi="Tahoma" w:cs="Tahoma"/>
      <w:spacing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9</cp:revision>
  <dcterms:created xsi:type="dcterms:W3CDTF">2015-01-05T20:54:00Z</dcterms:created>
  <dcterms:modified xsi:type="dcterms:W3CDTF">2015-01-05T21:08:00Z</dcterms:modified>
</cp:coreProperties>
</file>