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88" w:rsidRDefault="00084088" w:rsidP="00084088">
      <w:pPr>
        <w:pStyle w:val="Heading3"/>
        <w:numPr>
          <w:ilvl w:val="0"/>
          <w:numId w:val="0"/>
        </w:numPr>
      </w:pPr>
      <w:bookmarkStart w:id="0" w:name="_Toc406568741"/>
      <w:r w:rsidRPr="00D010F1">
        <w:t>Benefits</w:t>
      </w:r>
      <w:bookmarkEnd w:id="0"/>
    </w:p>
    <w:p w:rsidR="00084088" w:rsidRDefault="00084088" w:rsidP="00084088">
      <w:r>
        <w:t>When compared to the status quo, replacing the Broadway Street Bridge and adding a second track will yield significant economic benefits for the railroads, the Port, and the greater Houston region.  Reductions in railroad delay will lower the cost of transportation and reduce pollutants that harm local air quality.  Moreover, by increasing the capacity of the rail alignment, shippers will be able to ship m</w:t>
      </w:r>
      <w:bookmarkStart w:id="1" w:name="_GoBack"/>
      <w:bookmarkEnd w:id="1"/>
      <w:r>
        <w:t xml:space="preserve">ore freight via train, which is a cleaner form of transportation compared with trucks.  </w:t>
      </w:r>
      <w:r>
        <w:fldChar w:fldCharType="begin"/>
      </w:r>
      <w:r>
        <w:instrText xml:space="preserve"> REF _Ref384893200 \h </w:instrText>
      </w:r>
      <w:r>
        <w:fldChar w:fldCharType="separate"/>
      </w:r>
      <w:r>
        <w:t xml:space="preserve">Table </w:t>
      </w:r>
      <w:r>
        <w:rPr>
          <w:noProof/>
        </w:rPr>
        <w:t>8</w:t>
      </w:r>
      <w:r>
        <w:fldChar w:fldCharType="end"/>
      </w:r>
      <w:r>
        <w:t xml:space="preserve"> provides an overview of the benefits of the investment.</w:t>
      </w:r>
    </w:p>
    <w:p w:rsidR="00084088" w:rsidRDefault="00084088" w:rsidP="00084088">
      <w:pPr>
        <w:pStyle w:val="Caption"/>
      </w:pPr>
      <w:bookmarkStart w:id="2" w:name="_Ref384893200"/>
      <w:bookmarkStart w:id="3" w:name="_Toc386190668"/>
      <w:r>
        <w:t xml:space="preserve">Table </w:t>
      </w:r>
      <w:r>
        <w:fldChar w:fldCharType="begin"/>
      </w:r>
      <w:r>
        <w:instrText xml:space="preserve"> SEQ Table \* ARABIC </w:instrText>
      </w:r>
      <w:r>
        <w:fldChar w:fldCharType="separate"/>
      </w:r>
      <w:r>
        <w:rPr>
          <w:noProof/>
        </w:rPr>
        <w:t>8</w:t>
      </w:r>
      <w:r>
        <w:rPr>
          <w:noProof/>
        </w:rPr>
        <w:fldChar w:fldCharType="end"/>
      </w:r>
      <w:bookmarkEnd w:id="2"/>
      <w:r>
        <w:t>: Benefit Summary</w:t>
      </w:r>
      <w:bookmarkEnd w:id="3"/>
    </w:p>
    <w:tbl>
      <w:tblPr>
        <w:tblStyle w:val="TableGrid"/>
        <w:tblW w:w="0" w:type="auto"/>
        <w:tblInd w:w="108" w:type="dxa"/>
        <w:tblLook w:val="04A0" w:firstRow="1" w:lastRow="0" w:firstColumn="1" w:lastColumn="0" w:noHBand="0" w:noVBand="1"/>
      </w:tblPr>
      <w:tblGrid>
        <w:gridCol w:w="411"/>
        <w:gridCol w:w="5700"/>
        <w:gridCol w:w="1678"/>
        <w:gridCol w:w="1679"/>
      </w:tblGrid>
      <w:tr w:rsidR="00084088" w:rsidRPr="00F50C90" w:rsidTr="0084164D">
        <w:tc>
          <w:tcPr>
            <w:tcW w:w="6111" w:type="dxa"/>
            <w:gridSpan w:val="2"/>
            <w:vMerge w:val="restart"/>
            <w:shd w:val="clear" w:color="auto" w:fill="BFBFBF" w:themeFill="background1" w:themeFillShade="BF"/>
            <w:vAlign w:val="center"/>
          </w:tcPr>
          <w:p w:rsidR="00084088" w:rsidRPr="00F50C90" w:rsidRDefault="00084088" w:rsidP="0084164D">
            <w:pPr>
              <w:jc w:val="left"/>
              <w:rPr>
                <w:b/>
                <w:sz w:val="20"/>
              </w:rPr>
            </w:pPr>
            <w:r w:rsidRPr="00F50C90">
              <w:rPr>
                <w:b/>
                <w:sz w:val="20"/>
              </w:rPr>
              <w:t>Benefit</w:t>
            </w:r>
          </w:p>
        </w:tc>
        <w:tc>
          <w:tcPr>
            <w:tcW w:w="3357" w:type="dxa"/>
            <w:gridSpan w:val="2"/>
            <w:shd w:val="clear" w:color="auto" w:fill="BFBFBF" w:themeFill="background1" w:themeFillShade="BF"/>
          </w:tcPr>
          <w:p w:rsidR="00084088" w:rsidRPr="00F50C90" w:rsidRDefault="00084088" w:rsidP="0084164D">
            <w:pPr>
              <w:tabs>
                <w:tab w:val="center" w:pos="2106"/>
              </w:tabs>
              <w:jc w:val="center"/>
              <w:rPr>
                <w:b/>
                <w:sz w:val="20"/>
              </w:rPr>
            </w:pPr>
            <w:r>
              <w:rPr>
                <w:b/>
                <w:sz w:val="20"/>
              </w:rPr>
              <w:t>30-Year Present Value</w:t>
            </w:r>
          </w:p>
        </w:tc>
      </w:tr>
      <w:tr w:rsidR="00084088" w:rsidRPr="00F50C90" w:rsidTr="0084164D">
        <w:tc>
          <w:tcPr>
            <w:tcW w:w="6111" w:type="dxa"/>
            <w:gridSpan w:val="2"/>
            <w:vMerge/>
            <w:shd w:val="clear" w:color="auto" w:fill="BFBFBF" w:themeFill="background1" w:themeFillShade="BF"/>
          </w:tcPr>
          <w:p w:rsidR="00084088" w:rsidRPr="00F50C90" w:rsidRDefault="00084088" w:rsidP="0084164D">
            <w:pPr>
              <w:rPr>
                <w:b/>
                <w:sz w:val="20"/>
              </w:rPr>
            </w:pPr>
          </w:p>
        </w:tc>
        <w:tc>
          <w:tcPr>
            <w:tcW w:w="1678" w:type="dxa"/>
            <w:shd w:val="clear" w:color="auto" w:fill="BFBFBF" w:themeFill="background1" w:themeFillShade="BF"/>
          </w:tcPr>
          <w:p w:rsidR="00084088" w:rsidRPr="00F50C90" w:rsidRDefault="00084088" w:rsidP="0084164D">
            <w:pPr>
              <w:jc w:val="center"/>
              <w:rPr>
                <w:b/>
                <w:sz w:val="20"/>
              </w:rPr>
            </w:pPr>
            <w:r>
              <w:rPr>
                <w:b/>
                <w:sz w:val="20"/>
              </w:rPr>
              <w:t>7%</w:t>
            </w:r>
          </w:p>
        </w:tc>
        <w:tc>
          <w:tcPr>
            <w:tcW w:w="1679" w:type="dxa"/>
            <w:shd w:val="clear" w:color="auto" w:fill="BFBFBF" w:themeFill="background1" w:themeFillShade="BF"/>
          </w:tcPr>
          <w:p w:rsidR="00084088" w:rsidRPr="00F50C90" w:rsidRDefault="00084088" w:rsidP="0084164D">
            <w:pPr>
              <w:jc w:val="center"/>
              <w:rPr>
                <w:b/>
                <w:sz w:val="20"/>
              </w:rPr>
            </w:pPr>
            <w:r>
              <w:rPr>
                <w:b/>
                <w:sz w:val="20"/>
              </w:rPr>
              <w:t>3%</w:t>
            </w:r>
          </w:p>
        </w:tc>
      </w:tr>
      <w:tr w:rsidR="00084088" w:rsidRPr="00F50C90" w:rsidTr="0084164D">
        <w:tc>
          <w:tcPr>
            <w:tcW w:w="411" w:type="dxa"/>
          </w:tcPr>
          <w:p w:rsidR="00084088" w:rsidRPr="00F50C90" w:rsidRDefault="00084088" w:rsidP="0084164D">
            <w:pPr>
              <w:rPr>
                <w:sz w:val="20"/>
              </w:rPr>
            </w:pPr>
            <w:r w:rsidRPr="00F50C90">
              <w:rPr>
                <w:sz w:val="20"/>
              </w:rPr>
              <w:t>1</w:t>
            </w:r>
          </w:p>
        </w:tc>
        <w:tc>
          <w:tcPr>
            <w:tcW w:w="5700" w:type="dxa"/>
          </w:tcPr>
          <w:p w:rsidR="00084088" w:rsidRPr="00F50C90" w:rsidRDefault="00084088" w:rsidP="0084164D">
            <w:pPr>
              <w:rPr>
                <w:sz w:val="20"/>
              </w:rPr>
            </w:pPr>
            <w:r>
              <w:rPr>
                <w:sz w:val="20"/>
              </w:rPr>
              <w:t>Reduction in transportation costs due to reduced train delay</w:t>
            </w:r>
          </w:p>
        </w:tc>
        <w:tc>
          <w:tcPr>
            <w:tcW w:w="1678" w:type="dxa"/>
          </w:tcPr>
          <w:p w:rsidR="00084088" w:rsidRPr="00F50C90" w:rsidRDefault="00084088" w:rsidP="0084164D">
            <w:pPr>
              <w:jc w:val="center"/>
              <w:rPr>
                <w:sz w:val="20"/>
              </w:rPr>
            </w:pPr>
            <w:r>
              <w:rPr>
                <w:sz w:val="20"/>
              </w:rPr>
              <w:t>$20.55 million</w:t>
            </w:r>
          </w:p>
        </w:tc>
        <w:tc>
          <w:tcPr>
            <w:tcW w:w="1679" w:type="dxa"/>
          </w:tcPr>
          <w:p w:rsidR="00084088" w:rsidRPr="00F50C90" w:rsidRDefault="00084088" w:rsidP="0084164D">
            <w:pPr>
              <w:jc w:val="center"/>
              <w:rPr>
                <w:sz w:val="20"/>
              </w:rPr>
            </w:pPr>
            <w:r>
              <w:rPr>
                <w:sz w:val="20"/>
              </w:rPr>
              <w:t>$32.50 million</w:t>
            </w:r>
          </w:p>
        </w:tc>
      </w:tr>
      <w:tr w:rsidR="00084088" w:rsidRPr="00F50C90" w:rsidTr="0084164D">
        <w:tc>
          <w:tcPr>
            <w:tcW w:w="411" w:type="dxa"/>
          </w:tcPr>
          <w:p w:rsidR="00084088" w:rsidRPr="00F50C90" w:rsidRDefault="00084088" w:rsidP="0084164D">
            <w:pPr>
              <w:rPr>
                <w:sz w:val="20"/>
              </w:rPr>
            </w:pPr>
            <w:r w:rsidRPr="00F50C90">
              <w:rPr>
                <w:sz w:val="20"/>
              </w:rPr>
              <w:t>2</w:t>
            </w:r>
          </w:p>
        </w:tc>
        <w:tc>
          <w:tcPr>
            <w:tcW w:w="5700" w:type="dxa"/>
          </w:tcPr>
          <w:p w:rsidR="00084088" w:rsidRPr="00F50C90" w:rsidRDefault="00084088" w:rsidP="0084164D">
            <w:pPr>
              <w:rPr>
                <w:sz w:val="20"/>
              </w:rPr>
            </w:pPr>
            <w:r>
              <w:rPr>
                <w:sz w:val="20"/>
              </w:rPr>
              <w:t>Reduction in diesel locomotive emissions due to reduced train delay</w:t>
            </w:r>
          </w:p>
        </w:tc>
        <w:tc>
          <w:tcPr>
            <w:tcW w:w="1678" w:type="dxa"/>
          </w:tcPr>
          <w:p w:rsidR="00084088" w:rsidRPr="00F50C90" w:rsidRDefault="00084088" w:rsidP="0084164D">
            <w:pPr>
              <w:jc w:val="center"/>
              <w:rPr>
                <w:sz w:val="20"/>
              </w:rPr>
            </w:pPr>
            <w:r>
              <w:rPr>
                <w:sz w:val="20"/>
              </w:rPr>
              <w:t>$0.09 million</w:t>
            </w:r>
          </w:p>
        </w:tc>
        <w:tc>
          <w:tcPr>
            <w:tcW w:w="1679" w:type="dxa"/>
          </w:tcPr>
          <w:p w:rsidR="00084088" w:rsidRPr="00F50C90" w:rsidRDefault="00084088" w:rsidP="0084164D">
            <w:pPr>
              <w:jc w:val="center"/>
              <w:rPr>
                <w:sz w:val="20"/>
              </w:rPr>
            </w:pPr>
            <w:r>
              <w:rPr>
                <w:sz w:val="20"/>
              </w:rPr>
              <w:t>$0.14 million</w:t>
            </w:r>
          </w:p>
        </w:tc>
      </w:tr>
      <w:tr w:rsidR="00084088" w:rsidRPr="00F50C90" w:rsidTr="0084164D">
        <w:tc>
          <w:tcPr>
            <w:tcW w:w="411" w:type="dxa"/>
          </w:tcPr>
          <w:p w:rsidR="00084088" w:rsidRPr="00F50C90" w:rsidRDefault="00084088" w:rsidP="0084164D">
            <w:pPr>
              <w:rPr>
                <w:sz w:val="20"/>
              </w:rPr>
            </w:pPr>
            <w:r w:rsidRPr="00F50C90">
              <w:rPr>
                <w:sz w:val="20"/>
              </w:rPr>
              <w:t>3</w:t>
            </w:r>
          </w:p>
        </w:tc>
        <w:tc>
          <w:tcPr>
            <w:tcW w:w="5700" w:type="dxa"/>
          </w:tcPr>
          <w:p w:rsidR="00084088" w:rsidRPr="00F50C90" w:rsidRDefault="00084088" w:rsidP="0084164D">
            <w:pPr>
              <w:rPr>
                <w:sz w:val="20"/>
              </w:rPr>
            </w:pPr>
            <w:r>
              <w:rPr>
                <w:sz w:val="20"/>
              </w:rPr>
              <w:t>Reduction in truck emissions due to increased train capacity</w:t>
            </w:r>
          </w:p>
        </w:tc>
        <w:tc>
          <w:tcPr>
            <w:tcW w:w="1678" w:type="dxa"/>
          </w:tcPr>
          <w:p w:rsidR="00084088" w:rsidRPr="00F50C90" w:rsidRDefault="00084088" w:rsidP="0084164D">
            <w:pPr>
              <w:jc w:val="center"/>
              <w:rPr>
                <w:sz w:val="20"/>
              </w:rPr>
            </w:pPr>
            <w:r>
              <w:rPr>
                <w:sz w:val="20"/>
              </w:rPr>
              <w:t>$15.45 million</w:t>
            </w:r>
          </w:p>
        </w:tc>
        <w:tc>
          <w:tcPr>
            <w:tcW w:w="1679" w:type="dxa"/>
          </w:tcPr>
          <w:p w:rsidR="00084088" w:rsidRPr="00F50C90" w:rsidRDefault="00084088" w:rsidP="0084164D">
            <w:pPr>
              <w:jc w:val="center"/>
              <w:rPr>
                <w:sz w:val="20"/>
              </w:rPr>
            </w:pPr>
            <w:r>
              <w:rPr>
                <w:sz w:val="20"/>
              </w:rPr>
              <w:t>$30.34 million</w:t>
            </w:r>
          </w:p>
        </w:tc>
      </w:tr>
      <w:tr w:rsidR="00084088" w:rsidRPr="00F50C90" w:rsidTr="0084164D">
        <w:trPr>
          <w:trHeight w:val="188"/>
        </w:trPr>
        <w:tc>
          <w:tcPr>
            <w:tcW w:w="6111" w:type="dxa"/>
            <w:gridSpan w:val="2"/>
          </w:tcPr>
          <w:p w:rsidR="00084088" w:rsidRPr="005B1B7D" w:rsidRDefault="00084088" w:rsidP="0084164D">
            <w:pPr>
              <w:rPr>
                <w:b/>
                <w:sz w:val="20"/>
              </w:rPr>
            </w:pPr>
            <w:r w:rsidRPr="005B1B7D">
              <w:rPr>
                <w:b/>
                <w:sz w:val="20"/>
              </w:rPr>
              <w:t>Total</w:t>
            </w:r>
          </w:p>
        </w:tc>
        <w:tc>
          <w:tcPr>
            <w:tcW w:w="1678" w:type="dxa"/>
          </w:tcPr>
          <w:p w:rsidR="00084088" w:rsidRPr="005B1B7D" w:rsidRDefault="00084088" w:rsidP="0084164D">
            <w:pPr>
              <w:jc w:val="center"/>
              <w:rPr>
                <w:b/>
                <w:sz w:val="20"/>
              </w:rPr>
            </w:pPr>
            <w:r w:rsidRPr="005B1B7D">
              <w:rPr>
                <w:b/>
                <w:sz w:val="20"/>
              </w:rPr>
              <w:t>$3</w:t>
            </w:r>
            <w:r>
              <w:rPr>
                <w:b/>
                <w:sz w:val="20"/>
              </w:rPr>
              <w:t>6.09</w:t>
            </w:r>
            <w:r w:rsidRPr="005B1B7D">
              <w:rPr>
                <w:b/>
                <w:sz w:val="20"/>
              </w:rPr>
              <w:t xml:space="preserve"> million</w:t>
            </w:r>
          </w:p>
        </w:tc>
        <w:tc>
          <w:tcPr>
            <w:tcW w:w="1679" w:type="dxa"/>
          </w:tcPr>
          <w:p w:rsidR="00084088" w:rsidRPr="005B1B7D" w:rsidRDefault="00084088" w:rsidP="0084164D">
            <w:pPr>
              <w:jc w:val="center"/>
              <w:rPr>
                <w:b/>
                <w:sz w:val="20"/>
              </w:rPr>
            </w:pPr>
            <w:r w:rsidRPr="005B1B7D">
              <w:rPr>
                <w:b/>
                <w:sz w:val="20"/>
              </w:rPr>
              <w:t>$</w:t>
            </w:r>
            <w:r>
              <w:rPr>
                <w:b/>
                <w:sz w:val="20"/>
              </w:rPr>
              <w:t>62.98</w:t>
            </w:r>
            <w:r w:rsidRPr="005B1B7D">
              <w:rPr>
                <w:b/>
                <w:sz w:val="20"/>
              </w:rPr>
              <w:t xml:space="preserve"> million</w:t>
            </w:r>
          </w:p>
        </w:tc>
      </w:tr>
    </w:tbl>
    <w:p w:rsidR="00084088" w:rsidRPr="00E23328" w:rsidRDefault="00084088" w:rsidP="00084088">
      <w:pPr>
        <w:jc w:val="center"/>
        <w:rPr>
          <w:sz w:val="20"/>
        </w:rPr>
      </w:pPr>
      <w:r>
        <w:rPr>
          <w:sz w:val="20"/>
        </w:rPr>
        <w:t>Source: PTRA Data and PHA estimates</w:t>
      </w:r>
    </w:p>
    <w:p w:rsidR="00084088" w:rsidRDefault="00084088" w:rsidP="00084088">
      <w:pPr>
        <w:pStyle w:val="Heading4"/>
        <w:ind w:left="0"/>
      </w:pPr>
      <w:r>
        <w:t>Reduction in Train Delay</w:t>
      </w:r>
    </w:p>
    <w:p w:rsidR="00084088" w:rsidRDefault="00084088" w:rsidP="00084088">
      <w:r>
        <w:t xml:space="preserve">The construction of the new bridge and second track, which will accommodate up to 40 trains per day, will eliminate delay on the Broadway Street Bridge.  If construction begins in 2015, then the alignment will become operational in 2016 and the cost of delay described in the baseline will be reduced to zero.  This cost savings, which will provide significant value to stakeholders of the Port, is shown in </w:t>
      </w:r>
      <w:r>
        <w:fldChar w:fldCharType="begin"/>
      </w:r>
      <w:r>
        <w:instrText xml:space="preserve"> REF _Ref384985990 \h </w:instrText>
      </w:r>
      <w:r>
        <w:fldChar w:fldCharType="separate"/>
      </w:r>
      <w:r>
        <w:t xml:space="preserve">Table </w:t>
      </w:r>
      <w:r>
        <w:rPr>
          <w:noProof/>
        </w:rPr>
        <w:t>9</w:t>
      </w:r>
      <w:r>
        <w:fldChar w:fldCharType="end"/>
      </w:r>
      <w:r>
        <w:t>.</w:t>
      </w:r>
    </w:p>
    <w:p w:rsidR="00084088" w:rsidRDefault="00084088" w:rsidP="00084088">
      <w:pPr>
        <w:pStyle w:val="Caption"/>
        <w:keepNext/>
      </w:pPr>
      <w:bookmarkStart w:id="4" w:name="_Ref384985990"/>
      <w:bookmarkStart w:id="5" w:name="_Toc386190669"/>
      <w:r>
        <w:t xml:space="preserve">Table </w:t>
      </w:r>
      <w:r>
        <w:fldChar w:fldCharType="begin"/>
      </w:r>
      <w:r>
        <w:instrText xml:space="preserve"> SEQ Table \* ARABIC </w:instrText>
      </w:r>
      <w:r>
        <w:fldChar w:fldCharType="separate"/>
      </w:r>
      <w:r>
        <w:rPr>
          <w:noProof/>
        </w:rPr>
        <w:t>9</w:t>
      </w:r>
      <w:r>
        <w:rPr>
          <w:noProof/>
        </w:rPr>
        <w:fldChar w:fldCharType="end"/>
      </w:r>
      <w:bookmarkEnd w:id="4"/>
      <w:r>
        <w:t>: Savings from Reduction in Train Delay</w:t>
      </w:r>
      <w:bookmarkEnd w:id="5"/>
    </w:p>
    <w:tbl>
      <w:tblPr>
        <w:tblStyle w:val="TableGrid"/>
        <w:tblW w:w="0" w:type="auto"/>
        <w:jc w:val="center"/>
        <w:tblInd w:w="108" w:type="dxa"/>
        <w:tblLook w:val="04A0" w:firstRow="1" w:lastRow="0" w:firstColumn="1" w:lastColumn="0" w:noHBand="0" w:noVBand="1"/>
      </w:tblPr>
      <w:tblGrid>
        <w:gridCol w:w="2286"/>
        <w:gridCol w:w="2394"/>
        <w:gridCol w:w="2394"/>
        <w:gridCol w:w="2286"/>
      </w:tblGrid>
      <w:tr w:rsidR="00084088" w:rsidRPr="00FA3E88" w:rsidTr="0084164D">
        <w:trPr>
          <w:trHeight w:val="161"/>
          <w:jc w:val="center"/>
        </w:trPr>
        <w:tc>
          <w:tcPr>
            <w:tcW w:w="2286" w:type="dxa"/>
            <w:tcBorders>
              <w:top w:val="nil"/>
              <w:left w:val="nil"/>
              <w:bottom w:val="nil"/>
            </w:tcBorders>
          </w:tcPr>
          <w:p w:rsidR="00084088" w:rsidRPr="005B1B7D" w:rsidRDefault="00084088" w:rsidP="0084164D">
            <w:pPr>
              <w:jc w:val="left"/>
              <w:rPr>
                <w:sz w:val="20"/>
              </w:rPr>
            </w:pPr>
          </w:p>
        </w:tc>
        <w:tc>
          <w:tcPr>
            <w:tcW w:w="2394" w:type="dxa"/>
            <w:vMerge w:val="restart"/>
            <w:shd w:val="clear" w:color="auto" w:fill="BFBFBF" w:themeFill="background1" w:themeFillShade="BF"/>
            <w:vAlign w:val="center"/>
          </w:tcPr>
          <w:p w:rsidR="00084088" w:rsidRPr="005B1B7D" w:rsidRDefault="00084088" w:rsidP="0084164D">
            <w:pPr>
              <w:jc w:val="center"/>
              <w:rPr>
                <w:b/>
                <w:sz w:val="20"/>
              </w:rPr>
            </w:pPr>
            <w:r w:rsidRPr="005B1B7D">
              <w:rPr>
                <w:b/>
                <w:sz w:val="20"/>
              </w:rPr>
              <w:t>30</w:t>
            </w:r>
            <w:r>
              <w:rPr>
                <w:b/>
                <w:sz w:val="20"/>
              </w:rPr>
              <w:t>-</w:t>
            </w:r>
            <w:r w:rsidRPr="005B1B7D">
              <w:rPr>
                <w:b/>
                <w:sz w:val="20"/>
              </w:rPr>
              <w:t>Year Delay</w:t>
            </w:r>
          </w:p>
        </w:tc>
        <w:tc>
          <w:tcPr>
            <w:tcW w:w="4680" w:type="dxa"/>
            <w:gridSpan w:val="2"/>
            <w:shd w:val="clear" w:color="auto" w:fill="BFBFBF" w:themeFill="background1" w:themeFillShade="BF"/>
          </w:tcPr>
          <w:p w:rsidR="00084088" w:rsidRPr="005B1B7D" w:rsidRDefault="00084088" w:rsidP="0084164D">
            <w:pPr>
              <w:jc w:val="center"/>
              <w:rPr>
                <w:b/>
                <w:sz w:val="20"/>
              </w:rPr>
            </w:pPr>
            <w:r>
              <w:rPr>
                <w:b/>
                <w:sz w:val="20"/>
              </w:rPr>
              <w:t>30-Year Present Value Cost of Delay</w:t>
            </w:r>
          </w:p>
        </w:tc>
      </w:tr>
      <w:tr w:rsidR="00084088" w:rsidRPr="00FA3E88" w:rsidTr="0084164D">
        <w:trPr>
          <w:trHeight w:val="170"/>
          <w:jc w:val="center"/>
        </w:trPr>
        <w:tc>
          <w:tcPr>
            <w:tcW w:w="2286" w:type="dxa"/>
            <w:tcBorders>
              <w:top w:val="nil"/>
              <w:left w:val="nil"/>
            </w:tcBorders>
          </w:tcPr>
          <w:p w:rsidR="00084088" w:rsidRPr="005B1B7D" w:rsidRDefault="00084088" w:rsidP="0084164D">
            <w:pPr>
              <w:jc w:val="left"/>
              <w:rPr>
                <w:sz w:val="20"/>
              </w:rPr>
            </w:pPr>
          </w:p>
        </w:tc>
        <w:tc>
          <w:tcPr>
            <w:tcW w:w="2394" w:type="dxa"/>
            <w:vMerge/>
            <w:shd w:val="clear" w:color="auto" w:fill="BFBFBF" w:themeFill="background1" w:themeFillShade="BF"/>
          </w:tcPr>
          <w:p w:rsidR="00084088" w:rsidRPr="005B1B7D" w:rsidRDefault="00084088" w:rsidP="0084164D">
            <w:pPr>
              <w:jc w:val="center"/>
              <w:rPr>
                <w:b/>
                <w:sz w:val="20"/>
              </w:rPr>
            </w:pPr>
          </w:p>
        </w:tc>
        <w:tc>
          <w:tcPr>
            <w:tcW w:w="2394" w:type="dxa"/>
            <w:shd w:val="clear" w:color="auto" w:fill="BFBFBF" w:themeFill="background1" w:themeFillShade="BF"/>
          </w:tcPr>
          <w:p w:rsidR="00084088" w:rsidRPr="005B1B7D" w:rsidRDefault="00084088" w:rsidP="0084164D">
            <w:pPr>
              <w:jc w:val="center"/>
              <w:rPr>
                <w:b/>
                <w:sz w:val="20"/>
              </w:rPr>
            </w:pPr>
            <w:r w:rsidRPr="005B1B7D">
              <w:rPr>
                <w:b/>
                <w:sz w:val="20"/>
              </w:rPr>
              <w:t>7%</w:t>
            </w:r>
          </w:p>
        </w:tc>
        <w:tc>
          <w:tcPr>
            <w:tcW w:w="2286" w:type="dxa"/>
            <w:shd w:val="clear" w:color="auto" w:fill="BFBFBF" w:themeFill="background1" w:themeFillShade="BF"/>
          </w:tcPr>
          <w:p w:rsidR="00084088" w:rsidRPr="005B1B7D" w:rsidRDefault="00084088" w:rsidP="0084164D">
            <w:pPr>
              <w:jc w:val="center"/>
              <w:rPr>
                <w:b/>
                <w:sz w:val="20"/>
              </w:rPr>
            </w:pPr>
            <w:r w:rsidRPr="005B1B7D">
              <w:rPr>
                <w:b/>
                <w:sz w:val="20"/>
              </w:rPr>
              <w:t>3%</w:t>
            </w:r>
          </w:p>
        </w:tc>
      </w:tr>
      <w:tr w:rsidR="00084088" w:rsidRPr="00FA3E88" w:rsidTr="0084164D">
        <w:trPr>
          <w:jc w:val="center"/>
        </w:trPr>
        <w:tc>
          <w:tcPr>
            <w:tcW w:w="2286" w:type="dxa"/>
            <w:shd w:val="clear" w:color="auto" w:fill="BFBFBF" w:themeFill="background1" w:themeFillShade="BF"/>
          </w:tcPr>
          <w:p w:rsidR="00084088" w:rsidRPr="005B1B7D" w:rsidRDefault="00084088" w:rsidP="0084164D">
            <w:pPr>
              <w:jc w:val="left"/>
              <w:rPr>
                <w:b/>
                <w:sz w:val="20"/>
              </w:rPr>
            </w:pPr>
            <w:r w:rsidRPr="005B1B7D">
              <w:rPr>
                <w:b/>
                <w:sz w:val="20"/>
              </w:rPr>
              <w:t>Baseline Scenario</w:t>
            </w:r>
          </w:p>
        </w:tc>
        <w:tc>
          <w:tcPr>
            <w:tcW w:w="2394" w:type="dxa"/>
          </w:tcPr>
          <w:p w:rsidR="00084088" w:rsidRPr="005B1B7D" w:rsidRDefault="00084088" w:rsidP="0084164D">
            <w:pPr>
              <w:jc w:val="right"/>
              <w:rPr>
                <w:sz w:val="20"/>
              </w:rPr>
            </w:pPr>
            <w:r>
              <w:rPr>
                <w:sz w:val="20"/>
              </w:rPr>
              <w:t>50,370 Hours</w:t>
            </w:r>
          </w:p>
        </w:tc>
        <w:tc>
          <w:tcPr>
            <w:tcW w:w="2394" w:type="dxa"/>
          </w:tcPr>
          <w:p w:rsidR="00084088" w:rsidRPr="005B1B7D" w:rsidRDefault="00084088" w:rsidP="0084164D">
            <w:pPr>
              <w:jc w:val="right"/>
              <w:rPr>
                <w:sz w:val="20"/>
              </w:rPr>
            </w:pPr>
            <w:r>
              <w:rPr>
                <w:sz w:val="20"/>
              </w:rPr>
              <w:t>$21.5 million</w:t>
            </w:r>
          </w:p>
        </w:tc>
        <w:tc>
          <w:tcPr>
            <w:tcW w:w="2286" w:type="dxa"/>
          </w:tcPr>
          <w:p w:rsidR="00084088" w:rsidRPr="005B1B7D" w:rsidRDefault="00084088" w:rsidP="0084164D">
            <w:pPr>
              <w:jc w:val="right"/>
              <w:rPr>
                <w:sz w:val="20"/>
              </w:rPr>
            </w:pPr>
            <w:r>
              <w:rPr>
                <w:sz w:val="20"/>
              </w:rPr>
              <w:t>$33.4 million</w:t>
            </w:r>
          </w:p>
        </w:tc>
      </w:tr>
      <w:tr w:rsidR="00084088" w:rsidRPr="00FA3E88" w:rsidTr="0084164D">
        <w:trPr>
          <w:jc w:val="center"/>
        </w:trPr>
        <w:tc>
          <w:tcPr>
            <w:tcW w:w="2286" w:type="dxa"/>
            <w:shd w:val="clear" w:color="auto" w:fill="BFBFBF" w:themeFill="background1" w:themeFillShade="BF"/>
          </w:tcPr>
          <w:p w:rsidR="00084088" w:rsidRPr="005B1B7D" w:rsidRDefault="00084088" w:rsidP="0084164D">
            <w:pPr>
              <w:jc w:val="left"/>
              <w:rPr>
                <w:b/>
                <w:sz w:val="20"/>
              </w:rPr>
            </w:pPr>
            <w:r w:rsidRPr="005B1B7D">
              <w:rPr>
                <w:b/>
                <w:sz w:val="20"/>
              </w:rPr>
              <w:t>Investment Scenario</w:t>
            </w:r>
          </w:p>
        </w:tc>
        <w:tc>
          <w:tcPr>
            <w:tcW w:w="2394" w:type="dxa"/>
          </w:tcPr>
          <w:p w:rsidR="00084088" w:rsidRPr="009D31EB" w:rsidRDefault="00084088" w:rsidP="0084164D">
            <w:pPr>
              <w:jc w:val="right"/>
              <w:rPr>
                <w:sz w:val="20"/>
              </w:rPr>
            </w:pPr>
            <w:r>
              <w:rPr>
                <w:sz w:val="20"/>
              </w:rPr>
              <w:t>913 Hours</w:t>
            </w:r>
          </w:p>
        </w:tc>
        <w:tc>
          <w:tcPr>
            <w:tcW w:w="2394" w:type="dxa"/>
          </w:tcPr>
          <w:p w:rsidR="00084088" w:rsidRPr="009D31EB" w:rsidRDefault="00084088" w:rsidP="0084164D">
            <w:pPr>
              <w:jc w:val="right"/>
              <w:rPr>
                <w:sz w:val="20"/>
              </w:rPr>
            </w:pPr>
            <w:r>
              <w:rPr>
                <w:sz w:val="20"/>
              </w:rPr>
              <w:t>$0.9 million</w:t>
            </w:r>
          </w:p>
        </w:tc>
        <w:tc>
          <w:tcPr>
            <w:tcW w:w="2286" w:type="dxa"/>
          </w:tcPr>
          <w:p w:rsidR="00084088" w:rsidRPr="009D31EB" w:rsidRDefault="00084088" w:rsidP="0084164D">
            <w:pPr>
              <w:jc w:val="right"/>
              <w:rPr>
                <w:sz w:val="20"/>
              </w:rPr>
            </w:pPr>
            <w:r>
              <w:rPr>
                <w:sz w:val="20"/>
              </w:rPr>
              <w:t>$0.9 million</w:t>
            </w:r>
          </w:p>
        </w:tc>
      </w:tr>
      <w:tr w:rsidR="00084088" w:rsidRPr="00FA3E88" w:rsidTr="0084164D">
        <w:trPr>
          <w:jc w:val="center"/>
        </w:trPr>
        <w:tc>
          <w:tcPr>
            <w:tcW w:w="2286" w:type="dxa"/>
            <w:shd w:val="clear" w:color="auto" w:fill="BFBFBF" w:themeFill="background1" w:themeFillShade="BF"/>
          </w:tcPr>
          <w:p w:rsidR="00084088" w:rsidRPr="005B1B7D" w:rsidRDefault="00084088" w:rsidP="0084164D">
            <w:pPr>
              <w:jc w:val="left"/>
              <w:rPr>
                <w:b/>
                <w:sz w:val="20"/>
              </w:rPr>
            </w:pPr>
            <w:r>
              <w:rPr>
                <w:b/>
                <w:sz w:val="20"/>
              </w:rPr>
              <w:t>Benefit (</w:t>
            </w:r>
            <w:r w:rsidRPr="005B1B7D">
              <w:rPr>
                <w:b/>
                <w:sz w:val="20"/>
              </w:rPr>
              <w:t>Savings</w:t>
            </w:r>
            <w:r>
              <w:rPr>
                <w:b/>
                <w:sz w:val="20"/>
              </w:rPr>
              <w:t>)</w:t>
            </w:r>
          </w:p>
        </w:tc>
        <w:tc>
          <w:tcPr>
            <w:tcW w:w="2394" w:type="dxa"/>
          </w:tcPr>
          <w:p w:rsidR="00084088" w:rsidRPr="005B1B7D" w:rsidRDefault="00084088" w:rsidP="0084164D">
            <w:pPr>
              <w:jc w:val="right"/>
              <w:rPr>
                <w:b/>
                <w:sz w:val="20"/>
              </w:rPr>
            </w:pPr>
            <w:r w:rsidRPr="005B1B7D">
              <w:rPr>
                <w:b/>
                <w:sz w:val="20"/>
              </w:rPr>
              <w:t>49,4</w:t>
            </w:r>
            <w:r>
              <w:rPr>
                <w:b/>
                <w:sz w:val="20"/>
              </w:rPr>
              <w:t>58</w:t>
            </w:r>
            <w:r w:rsidRPr="005B1B7D">
              <w:rPr>
                <w:b/>
                <w:sz w:val="20"/>
              </w:rPr>
              <w:t xml:space="preserve"> Hours</w:t>
            </w:r>
          </w:p>
        </w:tc>
        <w:tc>
          <w:tcPr>
            <w:tcW w:w="2394" w:type="dxa"/>
          </w:tcPr>
          <w:p w:rsidR="00084088" w:rsidRPr="005B1B7D" w:rsidRDefault="00084088" w:rsidP="0084164D">
            <w:pPr>
              <w:jc w:val="right"/>
              <w:rPr>
                <w:b/>
                <w:sz w:val="20"/>
              </w:rPr>
            </w:pPr>
            <w:r>
              <w:rPr>
                <w:b/>
                <w:sz w:val="20"/>
              </w:rPr>
              <w:t>$20.6 million</w:t>
            </w:r>
          </w:p>
        </w:tc>
        <w:tc>
          <w:tcPr>
            <w:tcW w:w="2286" w:type="dxa"/>
          </w:tcPr>
          <w:p w:rsidR="00084088" w:rsidRPr="005B1B7D" w:rsidRDefault="00084088" w:rsidP="0084164D">
            <w:pPr>
              <w:jc w:val="right"/>
              <w:rPr>
                <w:b/>
                <w:sz w:val="20"/>
              </w:rPr>
            </w:pPr>
            <w:r>
              <w:rPr>
                <w:b/>
                <w:sz w:val="20"/>
              </w:rPr>
              <w:t>$32.5 million</w:t>
            </w:r>
          </w:p>
        </w:tc>
      </w:tr>
    </w:tbl>
    <w:p w:rsidR="00084088" w:rsidRDefault="00084088" w:rsidP="00084088">
      <w:pPr>
        <w:jc w:val="center"/>
      </w:pPr>
      <w:r w:rsidRPr="00E23328">
        <w:rPr>
          <w:sz w:val="20"/>
        </w:rPr>
        <w:t>Source: PTRA data and PHA estimates</w:t>
      </w:r>
    </w:p>
    <w:p w:rsidR="00084088" w:rsidRDefault="00084088" w:rsidP="00084088">
      <w:pPr>
        <w:jc w:val="left"/>
      </w:pPr>
      <w:r>
        <w:lastRenderedPageBreak/>
        <w:t xml:space="preserve">When compared to the baseline, delays with the bridge and second track investment are reduced dramatically, reducing transportation costs for rail operators on the alignment.  </w:t>
      </w:r>
    </w:p>
    <w:p w:rsidR="00084088" w:rsidRDefault="00084088" w:rsidP="00084088">
      <w:pPr>
        <w:pStyle w:val="Heading4"/>
        <w:ind w:left="0"/>
      </w:pPr>
      <w:bookmarkStart w:id="6" w:name="_Ref384894166"/>
      <w:r>
        <w:t>Reduction in Diesel Locomotive Emissions</w:t>
      </w:r>
    </w:p>
    <w:p w:rsidR="00084088" w:rsidRDefault="00084088" w:rsidP="00084088">
      <w:r>
        <w:t xml:space="preserve">Reductions in delay on the track will lead to reductions in emissions as trains consume less fuel.  As trains spend less time idling due to the addition of the second track, locomotives will emit less particulate matter, volatile organic compounds, nitrogen oxides, sulfur dioxide, and carbon dioxide.  These pollutants impose a cost on society.  To monetize the value of reducing these emissions, the PHA relied on research conducted by the National Highway Traffic Safety Administration (NHTSA).  </w:t>
      </w:r>
      <w:r>
        <w:fldChar w:fldCharType="begin"/>
      </w:r>
      <w:r>
        <w:instrText xml:space="preserve"> REF _Ref384988559 \h </w:instrText>
      </w:r>
      <w:r>
        <w:fldChar w:fldCharType="separate"/>
      </w:r>
      <w:r>
        <w:t xml:space="preserve">Table </w:t>
      </w:r>
      <w:r>
        <w:rPr>
          <w:noProof/>
        </w:rPr>
        <w:t>10</w:t>
      </w:r>
      <w:r>
        <w:fldChar w:fldCharType="end"/>
      </w:r>
      <w:r>
        <w:t xml:space="preserve"> compares emission on the alignment from diesel locomotives under the baseline and investment scenario.</w:t>
      </w:r>
    </w:p>
    <w:p w:rsidR="00084088" w:rsidRDefault="00084088" w:rsidP="00084088">
      <w:pPr>
        <w:pStyle w:val="Caption"/>
      </w:pPr>
      <w:bookmarkStart w:id="7" w:name="_Ref384988559"/>
      <w:bookmarkStart w:id="8" w:name="_Toc386190670"/>
      <w:r>
        <w:t xml:space="preserve">Table </w:t>
      </w:r>
      <w:r>
        <w:fldChar w:fldCharType="begin"/>
      </w:r>
      <w:r>
        <w:instrText xml:space="preserve"> SEQ Table \* ARABIC </w:instrText>
      </w:r>
      <w:r>
        <w:fldChar w:fldCharType="separate"/>
      </w:r>
      <w:r>
        <w:rPr>
          <w:noProof/>
        </w:rPr>
        <w:t>10</w:t>
      </w:r>
      <w:r>
        <w:rPr>
          <w:noProof/>
        </w:rPr>
        <w:fldChar w:fldCharType="end"/>
      </w:r>
      <w:bookmarkEnd w:id="7"/>
      <w:r>
        <w:t>: Savings from Reduction in Diesel Locomotive Emissions</w:t>
      </w:r>
      <w:bookmarkEnd w:id="8"/>
    </w:p>
    <w:tbl>
      <w:tblPr>
        <w:tblStyle w:val="TableGrid"/>
        <w:tblW w:w="0" w:type="auto"/>
        <w:jc w:val="center"/>
        <w:tblInd w:w="108" w:type="dxa"/>
        <w:tblLook w:val="04A0" w:firstRow="1" w:lastRow="0" w:firstColumn="1" w:lastColumn="0" w:noHBand="0" w:noVBand="1"/>
      </w:tblPr>
      <w:tblGrid>
        <w:gridCol w:w="2286"/>
        <w:gridCol w:w="2394"/>
        <w:gridCol w:w="2286"/>
      </w:tblGrid>
      <w:tr w:rsidR="00084088" w:rsidRPr="00FA3E88" w:rsidTr="0084164D">
        <w:trPr>
          <w:jc w:val="center"/>
        </w:trPr>
        <w:tc>
          <w:tcPr>
            <w:tcW w:w="2286" w:type="dxa"/>
            <w:tcBorders>
              <w:top w:val="nil"/>
              <w:left w:val="nil"/>
              <w:bottom w:val="nil"/>
            </w:tcBorders>
          </w:tcPr>
          <w:p w:rsidR="00084088" w:rsidRPr="005B1B7D" w:rsidRDefault="00084088" w:rsidP="0084164D">
            <w:pPr>
              <w:jc w:val="left"/>
              <w:rPr>
                <w:sz w:val="20"/>
              </w:rPr>
            </w:pPr>
          </w:p>
        </w:tc>
        <w:tc>
          <w:tcPr>
            <w:tcW w:w="4680" w:type="dxa"/>
            <w:gridSpan w:val="2"/>
            <w:shd w:val="clear" w:color="auto" w:fill="BFBFBF" w:themeFill="background1" w:themeFillShade="BF"/>
          </w:tcPr>
          <w:p w:rsidR="00084088" w:rsidRPr="005B1B7D" w:rsidRDefault="00084088" w:rsidP="0084164D">
            <w:pPr>
              <w:jc w:val="center"/>
              <w:rPr>
                <w:b/>
                <w:sz w:val="20"/>
              </w:rPr>
            </w:pPr>
            <w:r w:rsidRPr="005B1B7D">
              <w:rPr>
                <w:b/>
                <w:sz w:val="20"/>
              </w:rPr>
              <w:t>30</w:t>
            </w:r>
            <w:r>
              <w:rPr>
                <w:b/>
                <w:sz w:val="20"/>
              </w:rPr>
              <w:t>-</w:t>
            </w:r>
            <w:r w:rsidRPr="005B1B7D">
              <w:rPr>
                <w:b/>
                <w:sz w:val="20"/>
              </w:rPr>
              <w:t xml:space="preserve">Year </w:t>
            </w:r>
            <w:r>
              <w:rPr>
                <w:b/>
                <w:sz w:val="20"/>
              </w:rPr>
              <w:t xml:space="preserve">Present Value </w:t>
            </w:r>
            <w:r w:rsidRPr="005B1B7D">
              <w:rPr>
                <w:b/>
                <w:sz w:val="20"/>
              </w:rPr>
              <w:t xml:space="preserve">Cost of </w:t>
            </w:r>
            <w:r>
              <w:rPr>
                <w:b/>
                <w:sz w:val="20"/>
              </w:rPr>
              <w:t>Emissions</w:t>
            </w:r>
          </w:p>
        </w:tc>
      </w:tr>
      <w:tr w:rsidR="00084088" w:rsidRPr="00FA3E88" w:rsidTr="0084164D">
        <w:trPr>
          <w:jc w:val="center"/>
        </w:trPr>
        <w:tc>
          <w:tcPr>
            <w:tcW w:w="2286" w:type="dxa"/>
            <w:tcBorders>
              <w:top w:val="nil"/>
              <w:left w:val="nil"/>
            </w:tcBorders>
          </w:tcPr>
          <w:p w:rsidR="00084088" w:rsidRPr="005B1B7D" w:rsidRDefault="00084088" w:rsidP="0084164D">
            <w:pPr>
              <w:jc w:val="left"/>
              <w:rPr>
                <w:sz w:val="20"/>
              </w:rPr>
            </w:pPr>
          </w:p>
        </w:tc>
        <w:tc>
          <w:tcPr>
            <w:tcW w:w="2394" w:type="dxa"/>
            <w:shd w:val="clear" w:color="auto" w:fill="BFBFBF" w:themeFill="background1" w:themeFillShade="BF"/>
          </w:tcPr>
          <w:p w:rsidR="00084088" w:rsidRPr="005B1B7D" w:rsidRDefault="00084088" w:rsidP="0084164D">
            <w:pPr>
              <w:jc w:val="center"/>
              <w:rPr>
                <w:b/>
                <w:sz w:val="20"/>
              </w:rPr>
            </w:pPr>
            <w:r w:rsidRPr="005B1B7D">
              <w:rPr>
                <w:b/>
                <w:sz w:val="20"/>
              </w:rPr>
              <w:t>7%</w:t>
            </w:r>
          </w:p>
        </w:tc>
        <w:tc>
          <w:tcPr>
            <w:tcW w:w="2286" w:type="dxa"/>
            <w:shd w:val="clear" w:color="auto" w:fill="BFBFBF" w:themeFill="background1" w:themeFillShade="BF"/>
          </w:tcPr>
          <w:p w:rsidR="00084088" w:rsidRPr="005B1B7D" w:rsidRDefault="00084088" w:rsidP="0084164D">
            <w:pPr>
              <w:jc w:val="center"/>
              <w:rPr>
                <w:b/>
                <w:sz w:val="20"/>
              </w:rPr>
            </w:pPr>
            <w:r w:rsidRPr="005B1B7D">
              <w:rPr>
                <w:b/>
                <w:sz w:val="20"/>
              </w:rPr>
              <w:t>3%</w:t>
            </w:r>
          </w:p>
        </w:tc>
      </w:tr>
      <w:tr w:rsidR="00084088" w:rsidRPr="00FA3E88" w:rsidTr="0084164D">
        <w:trPr>
          <w:jc w:val="center"/>
        </w:trPr>
        <w:tc>
          <w:tcPr>
            <w:tcW w:w="2286" w:type="dxa"/>
            <w:shd w:val="clear" w:color="auto" w:fill="BFBFBF" w:themeFill="background1" w:themeFillShade="BF"/>
          </w:tcPr>
          <w:p w:rsidR="00084088" w:rsidRPr="005B1B7D" w:rsidRDefault="00084088" w:rsidP="0084164D">
            <w:pPr>
              <w:jc w:val="left"/>
              <w:rPr>
                <w:b/>
                <w:sz w:val="20"/>
              </w:rPr>
            </w:pPr>
            <w:r w:rsidRPr="005B1B7D">
              <w:rPr>
                <w:b/>
                <w:sz w:val="20"/>
              </w:rPr>
              <w:t>Baseline Scenario</w:t>
            </w:r>
          </w:p>
        </w:tc>
        <w:tc>
          <w:tcPr>
            <w:tcW w:w="2394" w:type="dxa"/>
          </w:tcPr>
          <w:p w:rsidR="00084088" w:rsidRPr="005B1B7D" w:rsidRDefault="00084088" w:rsidP="0084164D">
            <w:pPr>
              <w:jc w:val="right"/>
              <w:rPr>
                <w:sz w:val="20"/>
              </w:rPr>
            </w:pPr>
            <w:r>
              <w:rPr>
                <w:sz w:val="20"/>
              </w:rPr>
              <w:t>$0.1 million</w:t>
            </w:r>
          </w:p>
        </w:tc>
        <w:tc>
          <w:tcPr>
            <w:tcW w:w="2286" w:type="dxa"/>
          </w:tcPr>
          <w:p w:rsidR="00084088" w:rsidRPr="005B1B7D" w:rsidRDefault="00084088" w:rsidP="0084164D">
            <w:pPr>
              <w:jc w:val="right"/>
              <w:rPr>
                <w:sz w:val="20"/>
              </w:rPr>
            </w:pPr>
            <w:r>
              <w:rPr>
                <w:sz w:val="20"/>
              </w:rPr>
              <w:t>$0.1 million</w:t>
            </w:r>
          </w:p>
        </w:tc>
      </w:tr>
      <w:tr w:rsidR="00084088" w:rsidRPr="00FA3E88" w:rsidTr="0084164D">
        <w:trPr>
          <w:jc w:val="center"/>
        </w:trPr>
        <w:tc>
          <w:tcPr>
            <w:tcW w:w="2286" w:type="dxa"/>
            <w:shd w:val="clear" w:color="auto" w:fill="BFBFBF" w:themeFill="background1" w:themeFillShade="BF"/>
          </w:tcPr>
          <w:p w:rsidR="00084088" w:rsidRPr="005B1B7D" w:rsidRDefault="00084088" w:rsidP="0084164D">
            <w:pPr>
              <w:jc w:val="left"/>
              <w:rPr>
                <w:b/>
                <w:sz w:val="20"/>
              </w:rPr>
            </w:pPr>
            <w:r w:rsidRPr="005B1B7D">
              <w:rPr>
                <w:b/>
                <w:sz w:val="20"/>
              </w:rPr>
              <w:t>Investment Scenario</w:t>
            </w:r>
          </w:p>
        </w:tc>
        <w:tc>
          <w:tcPr>
            <w:tcW w:w="2394" w:type="dxa"/>
          </w:tcPr>
          <w:p w:rsidR="00084088" w:rsidRPr="009D31EB" w:rsidRDefault="00084088" w:rsidP="0084164D">
            <w:pPr>
              <w:jc w:val="right"/>
              <w:rPr>
                <w:sz w:val="20"/>
              </w:rPr>
            </w:pPr>
            <w:r>
              <w:rPr>
                <w:sz w:val="20"/>
              </w:rPr>
              <w:t>$0.0 million</w:t>
            </w:r>
          </w:p>
        </w:tc>
        <w:tc>
          <w:tcPr>
            <w:tcW w:w="2286" w:type="dxa"/>
          </w:tcPr>
          <w:p w:rsidR="00084088" w:rsidRPr="009D31EB" w:rsidRDefault="00084088" w:rsidP="0084164D">
            <w:pPr>
              <w:jc w:val="right"/>
              <w:rPr>
                <w:sz w:val="20"/>
              </w:rPr>
            </w:pPr>
            <w:r>
              <w:rPr>
                <w:sz w:val="20"/>
              </w:rPr>
              <w:t>$0.0 million</w:t>
            </w:r>
          </w:p>
        </w:tc>
      </w:tr>
      <w:tr w:rsidR="00084088" w:rsidRPr="00FA3E88" w:rsidTr="0084164D">
        <w:trPr>
          <w:jc w:val="center"/>
        </w:trPr>
        <w:tc>
          <w:tcPr>
            <w:tcW w:w="2286" w:type="dxa"/>
            <w:shd w:val="clear" w:color="auto" w:fill="BFBFBF" w:themeFill="background1" w:themeFillShade="BF"/>
          </w:tcPr>
          <w:p w:rsidR="00084088" w:rsidRPr="005B1B7D" w:rsidRDefault="00084088" w:rsidP="0084164D">
            <w:pPr>
              <w:jc w:val="left"/>
              <w:rPr>
                <w:b/>
                <w:sz w:val="20"/>
              </w:rPr>
            </w:pPr>
            <w:r>
              <w:rPr>
                <w:b/>
                <w:sz w:val="20"/>
              </w:rPr>
              <w:t>Benefit (</w:t>
            </w:r>
            <w:r w:rsidRPr="005B1B7D">
              <w:rPr>
                <w:b/>
                <w:sz w:val="20"/>
              </w:rPr>
              <w:t>Savings</w:t>
            </w:r>
            <w:r>
              <w:rPr>
                <w:b/>
                <w:sz w:val="20"/>
              </w:rPr>
              <w:t>)</w:t>
            </w:r>
          </w:p>
        </w:tc>
        <w:tc>
          <w:tcPr>
            <w:tcW w:w="2394" w:type="dxa"/>
          </w:tcPr>
          <w:p w:rsidR="00084088" w:rsidRPr="005B1B7D" w:rsidRDefault="00084088" w:rsidP="0084164D">
            <w:pPr>
              <w:jc w:val="right"/>
              <w:rPr>
                <w:b/>
                <w:sz w:val="20"/>
              </w:rPr>
            </w:pPr>
            <w:r>
              <w:rPr>
                <w:b/>
                <w:sz w:val="20"/>
              </w:rPr>
              <w:t>$0.1 million</w:t>
            </w:r>
          </w:p>
        </w:tc>
        <w:tc>
          <w:tcPr>
            <w:tcW w:w="2286" w:type="dxa"/>
          </w:tcPr>
          <w:p w:rsidR="00084088" w:rsidRPr="005B1B7D" w:rsidRDefault="00084088" w:rsidP="0084164D">
            <w:pPr>
              <w:jc w:val="right"/>
              <w:rPr>
                <w:b/>
                <w:sz w:val="20"/>
              </w:rPr>
            </w:pPr>
            <w:r>
              <w:rPr>
                <w:b/>
                <w:sz w:val="20"/>
              </w:rPr>
              <w:t>$0.1 million</w:t>
            </w:r>
          </w:p>
        </w:tc>
      </w:tr>
    </w:tbl>
    <w:p w:rsidR="00084088" w:rsidRPr="0045679B" w:rsidRDefault="00084088" w:rsidP="00084088">
      <w:pPr>
        <w:jc w:val="center"/>
        <w:rPr>
          <w:sz w:val="20"/>
        </w:rPr>
      </w:pPr>
      <w:r w:rsidRPr="0045679B">
        <w:rPr>
          <w:sz w:val="20"/>
        </w:rPr>
        <w:t>Source</w:t>
      </w:r>
      <w:r>
        <w:rPr>
          <w:sz w:val="20"/>
        </w:rPr>
        <w:t>: PTRA</w:t>
      </w:r>
      <w:r w:rsidRPr="0045679B">
        <w:rPr>
          <w:sz w:val="20"/>
        </w:rPr>
        <w:t xml:space="preserve"> data and PHA estimates</w:t>
      </w:r>
    </w:p>
    <w:bookmarkEnd w:id="6"/>
    <w:p w:rsidR="00084088" w:rsidRDefault="00084088" w:rsidP="00084088">
      <w:pPr>
        <w:pStyle w:val="Heading4"/>
        <w:ind w:left="0"/>
      </w:pPr>
      <w:r>
        <w:t>Reduction in Emissions from Substitution of Train Shipments for Truck Shipments</w:t>
      </w:r>
    </w:p>
    <w:p w:rsidR="00084088" w:rsidRDefault="00084088" w:rsidP="00084088">
      <w:r>
        <w:t>The new double track will also allow shippers that utilize the POH to send more freight via rail.  The substitution of rail transportation for truck transportation, in particular, will generate additional reductions in emissions as trains are more energy efficient than trucks on average.  Based on PTRA data, the PHA estimates that 24 percent of the new freight train traffic enabled by the new alignment could have been shipped via truck without the investment.  Moving that freight volume from trucks to trains will reduce emissions in the Houston area and improve local air quality.</w:t>
      </w:r>
    </w:p>
    <w:p w:rsidR="00084088" w:rsidRDefault="00084088" w:rsidP="00084088">
      <w:pPr>
        <w:pStyle w:val="Caption"/>
      </w:pPr>
      <w:bookmarkStart w:id="9" w:name="_Toc386190678"/>
      <w:r>
        <w:t xml:space="preserve">Figure </w:t>
      </w:r>
      <w:r>
        <w:fldChar w:fldCharType="begin"/>
      </w:r>
      <w:r>
        <w:instrText xml:space="preserve"> SEQ Figure \* ARABIC </w:instrText>
      </w:r>
      <w:r>
        <w:fldChar w:fldCharType="separate"/>
      </w:r>
      <w:r>
        <w:rPr>
          <w:noProof/>
        </w:rPr>
        <w:t>3</w:t>
      </w:r>
      <w:r>
        <w:rPr>
          <w:noProof/>
        </w:rPr>
        <w:fldChar w:fldCharType="end"/>
      </w:r>
      <w:r>
        <w:t>: Savings from Reduced Emissions from Substitution of Train for Truck Traffic</w:t>
      </w:r>
      <w:bookmarkEnd w:id="9"/>
    </w:p>
    <w:tbl>
      <w:tblPr>
        <w:tblStyle w:val="TableGrid"/>
        <w:tblW w:w="0" w:type="auto"/>
        <w:jc w:val="center"/>
        <w:tblInd w:w="108" w:type="dxa"/>
        <w:tblLook w:val="04A0" w:firstRow="1" w:lastRow="0" w:firstColumn="1" w:lastColumn="0" w:noHBand="0" w:noVBand="1"/>
      </w:tblPr>
      <w:tblGrid>
        <w:gridCol w:w="2286"/>
        <w:gridCol w:w="2394"/>
        <w:gridCol w:w="2286"/>
      </w:tblGrid>
      <w:tr w:rsidR="00084088" w:rsidRPr="00FA3E88" w:rsidTr="0084164D">
        <w:trPr>
          <w:jc w:val="center"/>
        </w:trPr>
        <w:tc>
          <w:tcPr>
            <w:tcW w:w="2286" w:type="dxa"/>
            <w:tcBorders>
              <w:top w:val="nil"/>
              <w:left w:val="nil"/>
              <w:bottom w:val="nil"/>
            </w:tcBorders>
          </w:tcPr>
          <w:p w:rsidR="00084088" w:rsidRPr="005B1B7D" w:rsidRDefault="00084088" w:rsidP="0084164D">
            <w:pPr>
              <w:jc w:val="left"/>
              <w:rPr>
                <w:sz w:val="20"/>
              </w:rPr>
            </w:pPr>
          </w:p>
        </w:tc>
        <w:tc>
          <w:tcPr>
            <w:tcW w:w="4680" w:type="dxa"/>
            <w:gridSpan w:val="2"/>
            <w:shd w:val="clear" w:color="auto" w:fill="BFBFBF" w:themeFill="background1" w:themeFillShade="BF"/>
          </w:tcPr>
          <w:p w:rsidR="00084088" w:rsidRPr="005B1B7D" w:rsidRDefault="00084088" w:rsidP="0084164D">
            <w:pPr>
              <w:jc w:val="center"/>
              <w:rPr>
                <w:b/>
                <w:sz w:val="20"/>
              </w:rPr>
            </w:pPr>
            <w:r w:rsidRPr="005B1B7D">
              <w:rPr>
                <w:b/>
                <w:sz w:val="20"/>
              </w:rPr>
              <w:t>30</w:t>
            </w:r>
            <w:r>
              <w:rPr>
                <w:b/>
                <w:sz w:val="20"/>
              </w:rPr>
              <w:t>-</w:t>
            </w:r>
            <w:r w:rsidRPr="005B1B7D">
              <w:rPr>
                <w:b/>
                <w:sz w:val="20"/>
              </w:rPr>
              <w:t xml:space="preserve">Year </w:t>
            </w:r>
            <w:r>
              <w:rPr>
                <w:b/>
                <w:sz w:val="20"/>
              </w:rPr>
              <w:t xml:space="preserve">Present Value </w:t>
            </w:r>
            <w:r w:rsidRPr="005B1B7D">
              <w:rPr>
                <w:b/>
                <w:sz w:val="20"/>
              </w:rPr>
              <w:t xml:space="preserve">Cost of </w:t>
            </w:r>
            <w:r>
              <w:rPr>
                <w:b/>
                <w:sz w:val="20"/>
              </w:rPr>
              <w:t>Emissions</w:t>
            </w:r>
          </w:p>
        </w:tc>
      </w:tr>
      <w:tr w:rsidR="00084088" w:rsidRPr="00FA3E88" w:rsidTr="0084164D">
        <w:trPr>
          <w:jc w:val="center"/>
        </w:trPr>
        <w:tc>
          <w:tcPr>
            <w:tcW w:w="2286" w:type="dxa"/>
            <w:tcBorders>
              <w:top w:val="nil"/>
              <w:left w:val="nil"/>
            </w:tcBorders>
          </w:tcPr>
          <w:p w:rsidR="00084088" w:rsidRPr="005B1B7D" w:rsidRDefault="00084088" w:rsidP="0084164D">
            <w:pPr>
              <w:jc w:val="left"/>
              <w:rPr>
                <w:sz w:val="20"/>
              </w:rPr>
            </w:pPr>
          </w:p>
        </w:tc>
        <w:tc>
          <w:tcPr>
            <w:tcW w:w="2394" w:type="dxa"/>
            <w:shd w:val="clear" w:color="auto" w:fill="BFBFBF" w:themeFill="background1" w:themeFillShade="BF"/>
          </w:tcPr>
          <w:p w:rsidR="00084088" w:rsidRPr="005B1B7D" w:rsidRDefault="00084088" w:rsidP="0084164D">
            <w:pPr>
              <w:jc w:val="center"/>
              <w:rPr>
                <w:b/>
                <w:sz w:val="20"/>
              </w:rPr>
            </w:pPr>
            <w:r w:rsidRPr="005B1B7D">
              <w:rPr>
                <w:b/>
                <w:sz w:val="20"/>
              </w:rPr>
              <w:t>7%</w:t>
            </w:r>
          </w:p>
        </w:tc>
        <w:tc>
          <w:tcPr>
            <w:tcW w:w="2286" w:type="dxa"/>
            <w:shd w:val="clear" w:color="auto" w:fill="BFBFBF" w:themeFill="background1" w:themeFillShade="BF"/>
          </w:tcPr>
          <w:p w:rsidR="00084088" w:rsidRPr="005B1B7D" w:rsidRDefault="00084088" w:rsidP="0084164D">
            <w:pPr>
              <w:jc w:val="center"/>
              <w:rPr>
                <w:b/>
                <w:sz w:val="20"/>
              </w:rPr>
            </w:pPr>
            <w:r w:rsidRPr="005B1B7D">
              <w:rPr>
                <w:b/>
                <w:sz w:val="20"/>
              </w:rPr>
              <w:t>3%</w:t>
            </w:r>
          </w:p>
        </w:tc>
      </w:tr>
      <w:tr w:rsidR="00084088" w:rsidRPr="00FA3E88" w:rsidTr="0084164D">
        <w:trPr>
          <w:jc w:val="center"/>
        </w:trPr>
        <w:tc>
          <w:tcPr>
            <w:tcW w:w="2286" w:type="dxa"/>
            <w:shd w:val="clear" w:color="auto" w:fill="BFBFBF" w:themeFill="background1" w:themeFillShade="BF"/>
          </w:tcPr>
          <w:p w:rsidR="00084088" w:rsidRPr="005B1B7D" w:rsidRDefault="00084088" w:rsidP="0084164D">
            <w:pPr>
              <w:jc w:val="left"/>
              <w:rPr>
                <w:b/>
                <w:sz w:val="20"/>
              </w:rPr>
            </w:pPr>
            <w:r>
              <w:rPr>
                <w:b/>
                <w:sz w:val="20"/>
              </w:rPr>
              <w:t>Benefit (</w:t>
            </w:r>
            <w:r w:rsidRPr="005B1B7D">
              <w:rPr>
                <w:b/>
                <w:sz w:val="20"/>
              </w:rPr>
              <w:t>Savings</w:t>
            </w:r>
            <w:r>
              <w:rPr>
                <w:b/>
                <w:sz w:val="20"/>
              </w:rPr>
              <w:t>)</w:t>
            </w:r>
          </w:p>
        </w:tc>
        <w:tc>
          <w:tcPr>
            <w:tcW w:w="2394" w:type="dxa"/>
          </w:tcPr>
          <w:p w:rsidR="00084088" w:rsidRPr="008418EF" w:rsidRDefault="00084088" w:rsidP="0084164D">
            <w:pPr>
              <w:jc w:val="right"/>
              <w:rPr>
                <w:sz w:val="20"/>
              </w:rPr>
            </w:pPr>
            <w:r w:rsidRPr="008418EF">
              <w:rPr>
                <w:sz w:val="20"/>
              </w:rPr>
              <w:t>$</w:t>
            </w:r>
            <w:r>
              <w:rPr>
                <w:sz w:val="20"/>
              </w:rPr>
              <w:t>15.5</w:t>
            </w:r>
            <w:r w:rsidRPr="008418EF">
              <w:rPr>
                <w:sz w:val="20"/>
              </w:rPr>
              <w:t xml:space="preserve"> million</w:t>
            </w:r>
          </w:p>
        </w:tc>
        <w:tc>
          <w:tcPr>
            <w:tcW w:w="2286" w:type="dxa"/>
          </w:tcPr>
          <w:p w:rsidR="00084088" w:rsidRPr="008418EF" w:rsidRDefault="00084088" w:rsidP="0084164D">
            <w:pPr>
              <w:jc w:val="right"/>
              <w:rPr>
                <w:sz w:val="20"/>
              </w:rPr>
            </w:pPr>
            <w:r w:rsidRPr="008418EF">
              <w:rPr>
                <w:sz w:val="20"/>
              </w:rPr>
              <w:t>$</w:t>
            </w:r>
            <w:r>
              <w:rPr>
                <w:sz w:val="20"/>
              </w:rPr>
              <w:t>30.3</w:t>
            </w:r>
            <w:r w:rsidRPr="008418EF">
              <w:rPr>
                <w:sz w:val="20"/>
              </w:rPr>
              <w:t xml:space="preserve"> million</w:t>
            </w:r>
          </w:p>
        </w:tc>
      </w:tr>
    </w:tbl>
    <w:p w:rsidR="00084088" w:rsidRDefault="00084088" w:rsidP="00084088"/>
    <w:p w:rsidR="00084088" w:rsidRDefault="00084088" w:rsidP="00084088">
      <w:pPr>
        <w:pStyle w:val="Heading4"/>
        <w:ind w:left="0"/>
      </w:pPr>
      <w:r>
        <w:t>Total Benefits</w:t>
      </w:r>
    </w:p>
    <w:p w:rsidR="00084088" w:rsidRDefault="00084088" w:rsidP="00084088">
      <w:r>
        <w:t xml:space="preserve">Combining the three types of benefits described above results in total benefits between </w:t>
      </w:r>
      <w:r w:rsidRPr="008418EF">
        <w:t>$</w:t>
      </w:r>
      <w:r>
        <w:t>36.1</w:t>
      </w:r>
      <w:r w:rsidRPr="008418EF">
        <w:t xml:space="preserve"> and $</w:t>
      </w:r>
      <w:r>
        <w:t>63.0</w:t>
      </w:r>
      <w:r w:rsidRPr="008418EF">
        <w:t xml:space="preserve"> million over 30 years</w:t>
      </w:r>
      <w:r w:rsidRPr="00AC7F98">
        <w:t>.</w:t>
      </w:r>
      <w:r>
        <w:t xml:space="preserve">  </w:t>
      </w:r>
      <w:r>
        <w:fldChar w:fldCharType="begin"/>
      </w:r>
      <w:r>
        <w:instrText xml:space="preserve"> REF _Ref384995351 \h </w:instrText>
      </w:r>
      <w:r>
        <w:fldChar w:fldCharType="separate"/>
      </w:r>
      <w:r>
        <w:t xml:space="preserve">Table </w:t>
      </w:r>
      <w:r>
        <w:rPr>
          <w:noProof/>
        </w:rPr>
        <w:t>11</w:t>
      </w:r>
      <w:r>
        <w:fldChar w:fldCharType="end"/>
      </w:r>
      <w:r>
        <w:t xml:space="preserve"> displays total monetized benefits over the period of analysis.</w:t>
      </w:r>
    </w:p>
    <w:p w:rsidR="00084088" w:rsidRDefault="00084088" w:rsidP="00084088">
      <w:pPr>
        <w:pStyle w:val="Caption"/>
        <w:keepNext/>
      </w:pPr>
      <w:bookmarkStart w:id="10" w:name="_Ref384995351"/>
      <w:bookmarkStart w:id="11" w:name="_Toc386190671"/>
      <w:r>
        <w:t xml:space="preserve">Table </w:t>
      </w:r>
      <w:r>
        <w:fldChar w:fldCharType="begin"/>
      </w:r>
      <w:r>
        <w:instrText xml:space="preserve"> SEQ Table \* ARABIC </w:instrText>
      </w:r>
      <w:r>
        <w:fldChar w:fldCharType="separate"/>
      </w:r>
      <w:r>
        <w:rPr>
          <w:noProof/>
        </w:rPr>
        <w:t>11</w:t>
      </w:r>
      <w:r>
        <w:rPr>
          <w:noProof/>
        </w:rPr>
        <w:fldChar w:fldCharType="end"/>
      </w:r>
      <w:bookmarkEnd w:id="10"/>
      <w:r>
        <w:t>: Total Benefits</w:t>
      </w:r>
      <w:bookmarkEnd w:id="11"/>
    </w:p>
    <w:tbl>
      <w:tblPr>
        <w:tblStyle w:val="TableGrid"/>
        <w:tblW w:w="0" w:type="auto"/>
        <w:tblInd w:w="108" w:type="dxa"/>
        <w:tblLook w:val="04A0" w:firstRow="1" w:lastRow="0" w:firstColumn="1" w:lastColumn="0" w:noHBand="0" w:noVBand="1"/>
      </w:tblPr>
      <w:tblGrid>
        <w:gridCol w:w="411"/>
        <w:gridCol w:w="5700"/>
        <w:gridCol w:w="1678"/>
        <w:gridCol w:w="1679"/>
      </w:tblGrid>
      <w:tr w:rsidR="00084088" w:rsidRPr="00F50C90" w:rsidTr="0084164D">
        <w:trPr>
          <w:tblHeader/>
        </w:trPr>
        <w:tc>
          <w:tcPr>
            <w:tcW w:w="6111" w:type="dxa"/>
            <w:gridSpan w:val="2"/>
            <w:vMerge w:val="restart"/>
            <w:shd w:val="clear" w:color="auto" w:fill="BFBFBF" w:themeFill="background1" w:themeFillShade="BF"/>
            <w:vAlign w:val="center"/>
          </w:tcPr>
          <w:p w:rsidR="00084088" w:rsidRPr="00F50C90" w:rsidRDefault="00084088" w:rsidP="0084164D">
            <w:pPr>
              <w:jc w:val="left"/>
              <w:rPr>
                <w:b/>
                <w:sz w:val="20"/>
              </w:rPr>
            </w:pPr>
            <w:r w:rsidRPr="00F50C90">
              <w:rPr>
                <w:b/>
                <w:sz w:val="20"/>
              </w:rPr>
              <w:t>Benefit</w:t>
            </w:r>
          </w:p>
        </w:tc>
        <w:tc>
          <w:tcPr>
            <w:tcW w:w="3357" w:type="dxa"/>
            <w:gridSpan w:val="2"/>
            <w:shd w:val="clear" w:color="auto" w:fill="BFBFBF" w:themeFill="background1" w:themeFillShade="BF"/>
          </w:tcPr>
          <w:p w:rsidR="00084088" w:rsidRPr="00F50C90" w:rsidRDefault="00084088" w:rsidP="0084164D">
            <w:pPr>
              <w:tabs>
                <w:tab w:val="center" w:pos="2106"/>
              </w:tabs>
              <w:jc w:val="center"/>
              <w:rPr>
                <w:b/>
                <w:sz w:val="20"/>
              </w:rPr>
            </w:pPr>
            <w:r>
              <w:rPr>
                <w:b/>
                <w:sz w:val="20"/>
              </w:rPr>
              <w:t>30-Year Present Value</w:t>
            </w:r>
          </w:p>
        </w:tc>
      </w:tr>
      <w:tr w:rsidR="00084088" w:rsidRPr="00F50C90" w:rsidTr="0084164D">
        <w:trPr>
          <w:tblHeader/>
        </w:trPr>
        <w:tc>
          <w:tcPr>
            <w:tcW w:w="6111" w:type="dxa"/>
            <w:gridSpan w:val="2"/>
            <w:vMerge/>
            <w:shd w:val="clear" w:color="auto" w:fill="BFBFBF" w:themeFill="background1" w:themeFillShade="BF"/>
          </w:tcPr>
          <w:p w:rsidR="00084088" w:rsidRPr="00F50C90" w:rsidRDefault="00084088" w:rsidP="0084164D">
            <w:pPr>
              <w:rPr>
                <w:b/>
                <w:sz w:val="20"/>
              </w:rPr>
            </w:pPr>
          </w:p>
        </w:tc>
        <w:tc>
          <w:tcPr>
            <w:tcW w:w="1678" w:type="dxa"/>
            <w:shd w:val="clear" w:color="auto" w:fill="BFBFBF" w:themeFill="background1" w:themeFillShade="BF"/>
          </w:tcPr>
          <w:p w:rsidR="00084088" w:rsidRPr="00F50C90" w:rsidRDefault="00084088" w:rsidP="0084164D">
            <w:pPr>
              <w:jc w:val="center"/>
              <w:rPr>
                <w:b/>
                <w:sz w:val="20"/>
              </w:rPr>
            </w:pPr>
            <w:r>
              <w:rPr>
                <w:b/>
                <w:sz w:val="20"/>
              </w:rPr>
              <w:t>7%</w:t>
            </w:r>
          </w:p>
        </w:tc>
        <w:tc>
          <w:tcPr>
            <w:tcW w:w="1679" w:type="dxa"/>
            <w:shd w:val="clear" w:color="auto" w:fill="BFBFBF" w:themeFill="background1" w:themeFillShade="BF"/>
          </w:tcPr>
          <w:p w:rsidR="00084088" w:rsidRPr="00F50C90" w:rsidRDefault="00084088" w:rsidP="0084164D">
            <w:pPr>
              <w:jc w:val="center"/>
              <w:rPr>
                <w:b/>
                <w:sz w:val="20"/>
              </w:rPr>
            </w:pPr>
            <w:r>
              <w:rPr>
                <w:b/>
                <w:sz w:val="20"/>
              </w:rPr>
              <w:t>3%</w:t>
            </w:r>
          </w:p>
        </w:tc>
      </w:tr>
      <w:tr w:rsidR="00084088" w:rsidRPr="00F50C90" w:rsidTr="0084164D">
        <w:tc>
          <w:tcPr>
            <w:tcW w:w="411" w:type="dxa"/>
          </w:tcPr>
          <w:p w:rsidR="00084088" w:rsidRPr="00F50C90" w:rsidRDefault="00084088" w:rsidP="0084164D">
            <w:pPr>
              <w:rPr>
                <w:sz w:val="20"/>
              </w:rPr>
            </w:pPr>
            <w:r w:rsidRPr="00F50C90">
              <w:rPr>
                <w:sz w:val="20"/>
              </w:rPr>
              <w:t>1</w:t>
            </w:r>
          </w:p>
        </w:tc>
        <w:tc>
          <w:tcPr>
            <w:tcW w:w="5700" w:type="dxa"/>
          </w:tcPr>
          <w:p w:rsidR="00084088" w:rsidRPr="00F50C90" w:rsidRDefault="00084088" w:rsidP="0084164D">
            <w:pPr>
              <w:rPr>
                <w:sz w:val="20"/>
              </w:rPr>
            </w:pPr>
            <w:r>
              <w:rPr>
                <w:sz w:val="20"/>
              </w:rPr>
              <w:t>Reduction in transportation costs due to reduced train delay</w:t>
            </w:r>
          </w:p>
        </w:tc>
        <w:tc>
          <w:tcPr>
            <w:tcW w:w="1678" w:type="dxa"/>
          </w:tcPr>
          <w:p w:rsidR="00084088" w:rsidRPr="00F50C90" w:rsidRDefault="00084088" w:rsidP="0084164D">
            <w:pPr>
              <w:jc w:val="center"/>
              <w:rPr>
                <w:sz w:val="20"/>
              </w:rPr>
            </w:pPr>
            <w:r>
              <w:rPr>
                <w:sz w:val="20"/>
              </w:rPr>
              <w:t>$20.55 million</w:t>
            </w:r>
          </w:p>
        </w:tc>
        <w:tc>
          <w:tcPr>
            <w:tcW w:w="1679" w:type="dxa"/>
          </w:tcPr>
          <w:p w:rsidR="00084088" w:rsidRPr="00F50C90" w:rsidRDefault="00084088" w:rsidP="0084164D">
            <w:pPr>
              <w:jc w:val="center"/>
              <w:rPr>
                <w:sz w:val="20"/>
              </w:rPr>
            </w:pPr>
            <w:r>
              <w:rPr>
                <w:sz w:val="20"/>
              </w:rPr>
              <w:t>$32.50 million</w:t>
            </w:r>
          </w:p>
        </w:tc>
      </w:tr>
      <w:tr w:rsidR="00084088" w:rsidRPr="00F50C90" w:rsidTr="0084164D">
        <w:tc>
          <w:tcPr>
            <w:tcW w:w="411" w:type="dxa"/>
          </w:tcPr>
          <w:p w:rsidR="00084088" w:rsidRPr="00F50C90" w:rsidRDefault="00084088" w:rsidP="0084164D">
            <w:pPr>
              <w:rPr>
                <w:sz w:val="20"/>
              </w:rPr>
            </w:pPr>
            <w:r w:rsidRPr="00F50C90">
              <w:rPr>
                <w:sz w:val="20"/>
              </w:rPr>
              <w:t>2</w:t>
            </w:r>
          </w:p>
        </w:tc>
        <w:tc>
          <w:tcPr>
            <w:tcW w:w="5700" w:type="dxa"/>
          </w:tcPr>
          <w:p w:rsidR="00084088" w:rsidRPr="00F50C90" w:rsidRDefault="00084088" w:rsidP="0084164D">
            <w:pPr>
              <w:rPr>
                <w:sz w:val="20"/>
              </w:rPr>
            </w:pPr>
            <w:r>
              <w:rPr>
                <w:sz w:val="20"/>
              </w:rPr>
              <w:t>Reduction in diesel locomotive emissions due to reduced train delay</w:t>
            </w:r>
          </w:p>
        </w:tc>
        <w:tc>
          <w:tcPr>
            <w:tcW w:w="1678" w:type="dxa"/>
          </w:tcPr>
          <w:p w:rsidR="00084088" w:rsidRPr="00F50C90" w:rsidRDefault="00084088" w:rsidP="0084164D">
            <w:pPr>
              <w:jc w:val="center"/>
              <w:rPr>
                <w:sz w:val="20"/>
              </w:rPr>
            </w:pPr>
            <w:r>
              <w:rPr>
                <w:sz w:val="20"/>
              </w:rPr>
              <w:t>$0.09 million</w:t>
            </w:r>
          </w:p>
        </w:tc>
        <w:tc>
          <w:tcPr>
            <w:tcW w:w="1679" w:type="dxa"/>
          </w:tcPr>
          <w:p w:rsidR="00084088" w:rsidRPr="00F50C90" w:rsidRDefault="00084088" w:rsidP="0084164D">
            <w:pPr>
              <w:jc w:val="center"/>
              <w:rPr>
                <w:sz w:val="20"/>
              </w:rPr>
            </w:pPr>
            <w:r>
              <w:rPr>
                <w:sz w:val="20"/>
              </w:rPr>
              <w:t>$0.14 million</w:t>
            </w:r>
          </w:p>
        </w:tc>
      </w:tr>
      <w:tr w:rsidR="00084088" w:rsidRPr="00F50C90" w:rsidTr="0084164D">
        <w:tc>
          <w:tcPr>
            <w:tcW w:w="411" w:type="dxa"/>
          </w:tcPr>
          <w:p w:rsidR="00084088" w:rsidRPr="00F50C90" w:rsidRDefault="00084088" w:rsidP="0084164D">
            <w:pPr>
              <w:rPr>
                <w:sz w:val="20"/>
              </w:rPr>
            </w:pPr>
            <w:r w:rsidRPr="00F50C90">
              <w:rPr>
                <w:sz w:val="20"/>
              </w:rPr>
              <w:t>3</w:t>
            </w:r>
          </w:p>
        </w:tc>
        <w:tc>
          <w:tcPr>
            <w:tcW w:w="5700" w:type="dxa"/>
          </w:tcPr>
          <w:p w:rsidR="00084088" w:rsidRPr="00F50C90" w:rsidRDefault="00084088" w:rsidP="0084164D">
            <w:pPr>
              <w:rPr>
                <w:sz w:val="20"/>
              </w:rPr>
            </w:pPr>
            <w:r>
              <w:rPr>
                <w:sz w:val="20"/>
              </w:rPr>
              <w:t>Reduction in truck emissions due to increased train capacity</w:t>
            </w:r>
          </w:p>
        </w:tc>
        <w:tc>
          <w:tcPr>
            <w:tcW w:w="1678" w:type="dxa"/>
          </w:tcPr>
          <w:p w:rsidR="00084088" w:rsidRPr="00F50C90" w:rsidRDefault="00084088" w:rsidP="0084164D">
            <w:pPr>
              <w:jc w:val="center"/>
              <w:rPr>
                <w:sz w:val="20"/>
              </w:rPr>
            </w:pPr>
            <w:r>
              <w:rPr>
                <w:sz w:val="20"/>
              </w:rPr>
              <w:t>$15.45 million</w:t>
            </w:r>
          </w:p>
        </w:tc>
        <w:tc>
          <w:tcPr>
            <w:tcW w:w="1679" w:type="dxa"/>
          </w:tcPr>
          <w:p w:rsidR="00084088" w:rsidRPr="00F50C90" w:rsidRDefault="00084088" w:rsidP="0084164D">
            <w:pPr>
              <w:jc w:val="center"/>
              <w:rPr>
                <w:sz w:val="20"/>
              </w:rPr>
            </w:pPr>
            <w:r>
              <w:rPr>
                <w:sz w:val="20"/>
              </w:rPr>
              <w:t>$30.34 million</w:t>
            </w:r>
          </w:p>
        </w:tc>
      </w:tr>
      <w:tr w:rsidR="00084088" w:rsidRPr="00F50C90" w:rsidTr="0084164D">
        <w:tc>
          <w:tcPr>
            <w:tcW w:w="6111" w:type="dxa"/>
            <w:gridSpan w:val="2"/>
          </w:tcPr>
          <w:p w:rsidR="00084088" w:rsidRPr="005B1B7D" w:rsidRDefault="00084088" w:rsidP="0084164D">
            <w:pPr>
              <w:rPr>
                <w:b/>
                <w:sz w:val="20"/>
              </w:rPr>
            </w:pPr>
            <w:r w:rsidRPr="005B1B7D">
              <w:rPr>
                <w:b/>
                <w:sz w:val="20"/>
              </w:rPr>
              <w:t>Total</w:t>
            </w:r>
          </w:p>
        </w:tc>
        <w:tc>
          <w:tcPr>
            <w:tcW w:w="1678" w:type="dxa"/>
          </w:tcPr>
          <w:p w:rsidR="00084088" w:rsidRPr="005B1B7D" w:rsidRDefault="00084088" w:rsidP="0084164D">
            <w:pPr>
              <w:jc w:val="center"/>
              <w:rPr>
                <w:b/>
                <w:sz w:val="20"/>
              </w:rPr>
            </w:pPr>
            <w:r w:rsidRPr="005B1B7D">
              <w:rPr>
                <w:b/>
                <w:sz w:val="20"/>
              </w:rPr>
              <w:t>$</w:t>
            </w:r>
            <w:r>
              <w:rPr>
                <w:b/>
                <w:sz w:val="20"/>
              </w:rPr>
              <w:t>36.09</w:t>
            </w:r>
            <w:r w:rsidRPr="005B1B7D">
              <w:rPr>
                <w:b/>
                <w:sz w:val="20"/>
              </w:rPr>
              <w:t xml:space="preserve"> million</w:t>
            </w:r>
          </w:p>
        </w:tc>
        <w:tc>
          <w:tcPr>
            <w:tcW w:w="1679" w:type="dxa"/>
          </w:tcPr>
          <w:p w:rsidR="00084088" w:rsidRPr="005B1B7D" w:rsidRDefault="00084088" w:rsidP="0084164D">
            <w:pPr>
              <w:jc w:val="center"/>
              <w:rPr>
                <w:b/>
                <w:sz w:val="20"/>
              </w:rPr>
            </w:pPr>
            <w:r w:rsidRPr="005B1B7D">
              <w:rPr>
                <w:b/>
                <w:sz w:val="20"/>
              </w:rPr>
              <w:t>$</w:t>
            </w:r>
            <w:r>
              <w:rPr>
                <w:b/>
                <w:sz w:val="20"/>
              </w:rPr>
              <w:t>62.98</w:t>
            </w:r>
            <w:r w:rsidRPr="005B1B7D">
              <w:rPr>
                <w:b/>
                <w:sz w:val="20"/>
              </w:rPr>
              <w:t xml:space="preserve"> million</w:t>
            </w:r>
          </w:p>
        </w:tc>
      </w:tr>
    </w:tbl>
    <w:p w:rsidR="00084088" w:rsidRDefault="00084088" w:rsidP="00084088">
      <w:pPr>
        <w:rPr>
          <w:bCs/>
          <w:iCs/>
        </w:rPr>
      </w:pPr>
    </w:p>
    <w:p w:rsidR="00084088" w:rsidRDefault="00084088" w:rsidP="00084088">
      <w:pPr>
        <w:rPr>
          <w:bCs/>
          <w:iCs/>
        </w:rPr>
      </w:pPr>
      <w:r w:rsidRPr="00DA441A">
        <w:rPr>
          <w:bCs/>
          <w:iCs/>
        </w:rPr>
        <w:t xml:space="preserve">In addition to the </w:t>
      </w:r>
      <w:r>
        <w:rPr>
          <w:bCs/>
          <w:iCs/>
        </w:rPr>
        <w:t xml:space="preserve">monetized benefits displayed in </w:t>
      </w:r>
      <w:r>
        <w:rPr>
          <w:bCs/>
          <w:iCs/>
        </w:rPr>
        <w:fldChar w:fldCharType="begin"/>
      </w:r>
      <w:r>
        <w:rPr>
          <w:bCs/>
          <w:iCs/>
        </w:rPr>
        <w:instrText xml:space="preserve"> REF _Ref384995351 \h </w:instrText>
      </w:r>
      <w:r>
        <w:rPr>
          <w:bCs/>
          <w:iCs/>
        </w:rPr>
      </w:r>
      <w:r>
        <w:rPr>
          <w:bCs/>
          <w:iCs/>
        </w:rPr>
        <w:fldChar w:fldCharType="separate"/>
      </w:r>
      <w:r>
        <w:t xml:space="preserve">Table </w:t>
      </w:r>
      <w:r>
        <w:rPr>
          <w:noProof/>
        </w:rPr>
        <w:t>11</w:t>
      </w:r>
      <w:r>
        <w:rPr>
          <w:bCs/>
          <w:iCs/>
        </w:rPr>
        <w:fldChar w:fldCharType="end"/>
      </w:r>
      <w:r>
        <w:rPr>
          <w:bCs/>
          <w:iCs/>
        </w:rPr>
        <w:t xml:space="preserve">, the project will produce ancillary benefits important to the economy of the region.  </w:t>
      </w:r>
    </w:p>
    <w:p w:rsidR="00084088" w:rsidRDefault="00084088" w:rsidP="00084088">
      <w:pPr>
        <w:rPr>
          <w:bCs/>
          <w:iCs/>
        </w:rPr>
      </w:pPr>
      <w:r>
        <w:rPr>
          <w:bCs/>
          <w:iCs/>
        </w:rPr>
        <w:t xml:space="preserve">First and foremost, by expanding capacity and increasing the competitiveness of the POH, the Broadway Second Main Track Project is expected to generate jobs.  As noted elsewhere in the report, the existing alignment accommodates over 1,000 rail cars per day; the cars include </w:t>
      </w:r>
      <w:r w:rsidRPr="00DA441A">
        <w:rPr>
          <w:bCs/>
          <w:iCs/>
        </w:rPr>
        <w:t>plastic pellet hoppers, tank cars, intermodal cars, coal hoppers, and others.</w:t>
      </w:r>
      <w:r>
        <w:rPr>
          <w:bCs/>
          <w:iCs/>
        </w:rPr>
        <w:t xml:space="preserve">  </w:t>
      </w:r>
      <w:r w:rsidRPr="00DA441A">
        <w:rPr>
          <w:bCs/>
          <w:iCs/>
        </w:rPr>
        <w:t>Adding a second main line is projected to</w:t>
      </w:r>
      <w:r>
        <w:rPr>
          <w:bCs/>
          <w:iCs/>
        </w:rPr>
        <w:t xml:space="preserve"> add capacity sufficient to handle the anticipated</w:t>
      </w:r>
      <w:r w:rsidRPr="00DA441A">
        <w:rPr>
          <w:bCs/>
          <w:iCs/>
        </w:rPr>
        <w:t xml:space="preserve"> increase rail traffic throughput </w:t>
      </w:r>
      <w:r>
        <w:rPr>
          <w:bCs/>
          <w:iCs/>
        </w:rPr>
        <w:t>of</w:t>
      </w:r>
      <w:r w:rsidRPr="00DA441A">
        <w:rPr>
          <w:bCs/>
          <w:iCs/>
        </w:rPr>
        <w:t xml:space="preserve"> 50</w:t>
      </w:r>
      <w:r>
        <w:rPr>
          <w:bCs/>
          <w:iCs/>
        </w:rPr>
        <w:t xml:space="preserve"> percent</w:t>
      </w:r>
      <w:r w:rsidRPr="00DA441A">
        <w:rPr>
          <w:bCs/>
          <w:iCs/>
        </w:rPr>
        <w:t xml:space="preserve"> over the next </w:t>
      </w:r>
      <w:r>
        <w:rPr>
          <w:bCs/>
          <w:iCs/>
        </w:rPr>
        <w:t xml:space="preserve">30 </w:t>
      </w:r>
      <w:r w:rsidRPr="00DA441A">
        <w:rPr>
          <w:bCs/>
          <w:iCs/>
        </w:rPr>
        <w:t>years.  This yields an increase of 246,375 cars per year</w:t>
      </w:r>
      <w:r>
        <w:rPr>
          <w:bCs/>
          <w:iCs/>
        </w:rPr>
        <w:t xml:space="preserve">, which </w:t>
      </w:r>
      <w:r w:rsidRPr="00DA441A">
        <w:rPr>
          <w:bCs/>
          <w:iCs/>
        </w:rPr>
        <w:t>is expected to incr</w:t>
      </w:r>
      <w:r>
        <w:rPr>
          <w:bCs/>
          <w:iCs/>
        </w:rPr>
        <w:t>ease manufacturing and transportation jobs.</w:t>
      </w:r>
    </w:p>
    <w:p w:rsidR="00084088" w:rsidRPr="0081446F" w:rsidRDefault="00084088" w:rsidP="00084088">
      <w:pPr>
        <w:rPr>
          <w:bCs/>
          <w:iCs/>
        </w:rPr>
      </w:pPr>
      <w:r>
        <w:rPr>
          <w:bCs/>
          <w:iCs/>
        </w:rPr>
        <w:t>Additionally, construction of the project will generate jobs.  In 2011, t</w:t>
      </w:r>
      <w:r w:rsidRPr="0081446F">
        <w:rPr>
          <w:bCs/>
          <w:iCs/>
        </w:rPr>
        <w:t xml:space="preserve">he </w:t>
      </w:r>
      <w:r>
        <w:rPr>
          <w:bCs/>
          <w:iCs/>
        </w:rPr>
        <w:t>C</w:t>
      </w:r>
      <w:r w:rsidRPr="0081446F">
        <w:rPr>
          <w:bCs/>
          <w:iCs/>
        </w:rPr>
        <w:t>ounci</w:t>
      </w:r>
      <w:r>
        <w:rPr>
          <w:bCs/>
          <w:iCs/>
        </w:rPr>
        <w:t>l of Economic Advisors estimated</w:t>
      </w:r>
      <w:r w:rsidRPr="0081446F">
        <w:rPr>
          <w:bCs/>
          <w:iCs/>
        </w:rPr>
        <w:t xml:space="preserve"> that every $76,923 in transportation infrastructure spending</w:t>
      </w:r>
      <w:r>
        <w:rPr>
          <w:bCs/>
          <w:iCs/>
        </w:rPr>
        <w:t xml:space="preserve"> would equate to one job a year.</w:t>
      </w:r>
      <w:r w:rsidRPr="0081446F">
        <w:rPr>
          <w:bCs/>
          <w:iCs/>
        </w:rPr>
        <w:t xml:space="preserve">  </w:t>
      </w:r>
      <w:r>
        <w:rPr>
          <w:bCs/>
          <w:iCs/>
        </w:rPr>
        <w:t>The project, t</w:t>
      </w:r>
      <w:r w:rsidRPr="0081446F">
        <w:rPr>
          <w:bCs/>
          <w:iCs/>
        </w:rPr>
        <w:t xml:space="preserve">herefore, </w:t>
      </w:r>
      <w:r>
        <w:rPr>
          <w:bCs/>
          <w:iCs/>
        </w:rPr>
        <w:t>should yield</w:t>
      </w:r>
      <w:r w:rsidRPr="0081446F">
        <w:rPr>
          <w:bCs/>
          <w:iCs/>
        </w:rPr>
        <w:t xml:space="preserve"> </w:t>
      </w:r>
      <w:r>
        <w:rPr>
          <w:bCs/>
          <w:iCs/>
        </w:rPr>
        <w:t>significant employment benefits during</w:t>
      </w:r>
      <w:r w:rsidRPr="0081446F">
        <w:rPr>
          <w:bCs/>
          <w:iCs/>
        </w:rPr>
        <w:t xml:space="preserve"> construction.</w:t>
      </w:r>
    </w:p>
    <w:p w:rsidR="00CB00C2" w:rsidRDefault="00CB00C2"/>
    <w:sectPr w:rsidR="00CB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4AE"/>
    <w:multiLevelType w:val="hybridMultilevel"/>
    <w:tmpl w:val="708C2128"/>
    <w:lvl w:ilvl="0" w:tplc="B9BE2308">
      <w:start w:val="1"/>
      <w:numFmt w:val="lowerRoman"/>
      <w:pStyle w:val="Headi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77350211"/>
    <w:multiLevelType w:val="multilevel"/>
    <w:tmpl w:val="A3265212"/>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88"/>
    <w:rsid w:val="00084088"/>
    <w:rsid w:val="008B7B01"/>
    <w:rsid w:val="00CB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88"/>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084088"/>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84088"/>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4088"/>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4088"/>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0840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40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40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40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40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88"/>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084088"/>
    <w:rPr>
      <w:rFonts w:ascii="Arial" w:eastAsiaTheme="majorEastAsia" w:hAnsi="Arial" w:cstheme="majorBidi"/>
      <w:b/>
      <w:bCs/>
      <w:spacing w:val="-2"/>
      <w:sz w:val="28"/>
      <w:szCs w:val="26"/>
      <w:lang w:eastAsia="ko-KR"/>
    </w:rPr>
  </w:style>
  <w:style w:type="character" w:customStyle="1" w:styleId="Heading3Char">
    <w:name w:val="Heading 3 Char"/>
    <w:basedOn w:val="DefaultParagraphFont"/>
    <w:link w:val="Heading3"/>
    <w:uiPriority w:val="9"/>
    <w:rsid w:val="00084088"/>
    <w:rPr>
      <w:rFonts w:ascii="Arial" w:eastAsiaTheme="majorEastAsia" w:hAnsi="Arial" w:cstheme="majorBidi"/>
      <w:b/>
      <w:bCs/>
      <w:spacing w:val="-2"/>
      <w:sz w:val="24"/>
      <w:szCs w:val="20"/>
      <w:lang w:eastAsia="ko-KR"/>
    </w:rPr>
  </w:style>
  <w:style w:type="character" w:customStyle="1" w:styleId="Heading4Char">
    <w:name w:val="Heading 4 Char"/>
    <w:basedOn w:val="DefaultParagraphFont"/>
    <w:link w:val="Heading4"/>
    <w:uiPriority w:val="9"/>
    <w:rsid w:val="00084088"/>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084088"/>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084088"/>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084088"/>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084088"/>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084088"/>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084088"/>
    <w:pPr>
      <w:spacing w:after="120" w:line="240" w:lineRule="auto"/>
      <w:jc w:val="center"/>
    </w:pPr>
    <w:rPr>
      <w:b/>
      <w:bCs/>
      <w:sz w:val="20"/>
      <w:szCs w:val="18"/>
    </w:rPr>
  </w:style>
  <w:style w:type="table" w:styleId="TableGrid">
    <w:name w:val="Table Grid"/>
    <w:basedOn w:val="TableNormal"/>
    <w:rsid w:val="00084088"/>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088"/>
    <w:pPr>
      <w:spacing w:after="240" w:line="288" w:lineRule="auto"/>
      <w:jc w:val="both"/>
    </w:pPr>
    <w:rPr>
      <w:rFonts w:ascii="Arial" w:eastAsia="Times New Roman" w:hAnsi="Arial" w:cs="Times New Roman"/>
      <w:spacing w:val="-2"/>
      <w:sz w:val="24"/>
      <w:szCs w:val="20"/>
      <w:lang w:eastAsia="ko-KR"/>
    </w:rPr>
  </w:style>
  <w:style w:type="paragraph" w:styleId="Heading1">
    <w:name w:val="heading 1"/>
    <w:basedOn w:val="Normal"/>
    <w:next w:val="Normal"/>
    <w:link w:val="Heading1Char"/>
    <w:uiPriority w:val="9"/>
    <w:qFormat/>
    <w:rsid w:val="00084088"/>
    <w:pPr>
      <w:keepNext/>
      <w:keepLines/>
      <w:numPr>
        <w:numId w:val="1"/>
      </w:numPr>
      <w:spacing w:before="240" w:after="120" w:line="240" w:lineRule="auto"/>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084088"/>
    <w:pPr>
      <w:keepNext/>
      <w:keepLines/>
      <w:numPr>
        <w:ilvl w:val="1"/>
        <w:numId w:val="1"/>
      </w:numPr>
      <w:spacing w:before="200" w:after="120"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4088"/>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unhideWhenUsed/>
    <w:qFormat/>
    <w:rsid w:val="00084088"/>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08408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408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408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408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408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088"/>
    <w:rPr>
      <w:rFonts w:ascii="Arial" w:eastAsiaTheme="majorEastAsia" w:hAnsi="Arial" w:cstheme="majorBidi"/>
      <w:b/>
      <w:bCs/>
      <w:spacing w:val="-2"/>
      <w:sz w:val="32"/>
      <w:szCs w:val="28"/>
      <w:lang w:eastAsia="ko-KR"/>
    </w:rPr>
  </w:style>
  <w:style w:type="character" w:customStyle="1" w:styleId="Heading2Char">
    <w:name w:val="Heading 2 Char"/>
    <w:basedOn w:val="DefaultParagraphFont"/>
    <w:link w:val="Heading2"/>
    <w:uiPriority w:val="9"/>
    <w:rsid w:val="00084088"/>
    <w:rPr>
      <w:rFonts w:ascii="Arial" w:eastAsiaTheme="majorEastAsia" w:hAnsi="Arial" w:cstheme="majorBidi"/>
      <w:b/>
      <w:bCs/>
      <w:spacing w:val="-2"/>
      <w:sz w:val="28"/>
      <w:szCs w:val="26"/>
      <w:lang w:eastAsia="ko-KR"/>
    </w:rPr>
  </w:style>
  <w:style w:type="character" w:customStyle="1" w:styleId="Heading3Char">
    <w:name w:val="Heading 3 Char"/>
    <w:basedOn w:val="DefaultParagraphFont"/>
    <w:link w:val="Heading3"/>
    <w:uiPriority w:val="9"/>
    <w:rsid w:val="00084088"/>
    <w:rPr>
      <w:rFonts w:ascii="Arial" w:eastAsiaTheme="majorEastAsia" w:hAnsi="Arial" w:cstheme="majorBidi"/>
      <w:b/>
      <w:bCs/>
      <w:spacing w:val="-2"/>
      <w:sz w:val="24"/>
      <w:szCs w:val="20"/>
      <w:lang w:eastAsia="ko-KR"/>
    </w:rPr>
  </w:style>
  <w:style w:type="character" w:customStyle="1" w:styleId="Heading4Char">
    <w:name w:val="Heading 4 Char"/>
    <w:basedOn w:val="DefaultParagraphFont"/>
    <w:link w:val="Heading4"/>
    <w:uiPriority w:val="9"/>
    <w:rsid w:val="00084088"/>
    <w:rPr>
      <w:rFonts w:ascii="Arial" w:eastAsiaTheme="majorEastAsia" w:hAnsi="Arial" w:cstheme="majorBidi"/>
      <w:b/>
      <w:bCs/>
      <w:i/>
      <w:iCs/>
      <w:spacing w:val="-2"/>
      <w:sz w:val="24"/>
      <w:szCs w:val="20"/>
      <w:lang w:eastAsia="ko-KR"/>
    </w:rPr>
  </w:style>
  <w:style w:type="character" w:customStyle="1" w:styleId="Heading5Char">
    <w:name w:val="Heading 5 Char"/>
    <w:basedOn w:val="DefaultParagraphFont"/>
    <w:link w:val="Heading5"/>
    <w:uiPriority w:val="9"/>
    <w:rsid w:val="00084088"/>
    <w:rPr>
      <w:rFonts w:asciiTheme="majorHAnsi" w:eastAsiaTheme="majorEastAsia" w:hAnsiTheme="majorHAnsi" w:cstheme="majorBidi"/>
      <w:color w:val="243F60" w:themeColor="accent1" w:themeShade="7F"/>
      <w:spacing w:val="-2"/>
      <w:sz w:val="24"/>
      <w:szCs w:val="20"/>
      <w:lang w:eastAsia="ko-KR"/>
    </w:rPr>
  </w:style>
  <w:style w:type="character" w:customStyle="1" w:styleId="Heading6Char">
    <w:name w:val="Heading 6 Char"/>
    <w:basedOn w:val="DefaultParagraphFont"/>
    <w:link w:val="Heading6"/>
    <w:uiPriority w:val="9"/>
    <w:semiHidden/>
    <w:rsid w:val="00084088"/>
    <w:rPr>
      <w:rFonts w:asciiTheme="majorHAnsi" w:eastAsiaTheme="majorEastAsia" w:hAnsiTheme="majorHAnsi" w:cstheme="majorBidi"/>
      <w:i/>
      <w:iCs/>
      <w:color w:val="243F60" w:themeColor="accent1" w:themeShade="7F"/>
      <w:spacing w:val="-2"/>
      <w:sz w:val="24"/>
      <w:szCs w:val="20"/>
      <w:lang w:eastAsia="ko-KR"/>
    </w:rPr>
  </w:style>
  <w:style w:type="character" w:customStyle="1" w:styleId="Heading7Char">
    <w:name w:val="Heading 7 Char"/>
    <w:basedOn w:val="DefaultParagraphFont"/>
    <w:link w:val="Heading7"/>
    <w:uiPriority w:val="9"/>
    <w:semiHidden/>
    <w:rsid w:val="00084088"/>
    <w:rPr>
      <w:rFonts w:asciiTheme="majorHAnsi" w:eastAsiaTheme="majorEastAsia" w:hAnsiTheme="majorHAnsi" w:cstheme="majorBidi"/>
      <w:i/>
      <w:iCs/>
      <w:color w:val="404040" w:themeColor="text1" w:themeTint="BF"/>
      <w:spacing w:val="-2"/>
      <w:sz w:val="24"/>
      <w:szCs w:val="20"/>
      <w:lang w:eastAsia="ko-KR"/>
    </w:rPr>
  </w:style>
  <w:style w:type="character" w:customStyle="1" w:styleId="Heading8Char">
    <w:name w:val="Heading 8 Char"/>
    <w:basedOn w:val="DefaultParagraphFont"/>
    <w:link w:val="Heading8"/>
    <w:uiPriority w:val="9"/>
    <w:semiHidden/>
    <w:rsid w:val="00084088"/>
    <w:rPr>
      <w:rFonts w:asciiTheme="majorHAnsi" w:eastAsiaTheme="majorEastAsia" w:hAnsiTheme="majorHAnsi" w:cstheme="majorBidi"/>
      <w:color w:val="404040" w:themeColor="text1" w:themeTint="BF"/>
      <w:spacing w:val="-2"/>
      <w:sz w:val="20"/>
      <w:szCs w:val="20"/>
      <w:lang w:eastAsia="ko-KR"/>
    </w:rPr>
  </w:style>
  <w:style w:type="character" w:customStyle="1" w:styleId="Heading9Char">
    <w:name w:val="Heading 9 Char"/>
    <w:basedOn w:val="DefaultParagraphFont"/>
    <w:link w:val="Heading9"/>
    <w:uiPriority w:val="9"/>
    <w:semiHidden/>
    <w:rsid w:val="00084088"/>
    <w:rPr>
      <w:rFonts w:asciiTheme="majorHAnsi" w:eastAsiaTheme="majorEastAsia" w:hAnsiTheme="majorHAnsi" w:cstheme="majorBidi"/>
      <w:i/>
      <w:iCs/>
      <w:color w:val="404040" w:themeColor="text1" w:themeTint="BF"/>
      <w:spacing w:val="-2"/>
      <w:sz w:val="20"/>
      <w:szCs w:val="20"/>
      <w:lang w:eastAsia="ko-KR"/>
    </w:rPr>
  </w:style>
  <w:style w:type="paragraph" w:styleId="Caption">
    <w:name w:val="caption"/>
    <w:basedOn w:val="Normal"/>
    <w:next w:val="Normal"/>
    <w:uiPriority w:val="35"/>
    <w:unhideWhenUsed/>
    <w:qFormat/>
    <w:rsid w:val="00084088"/>
    <w:pPr>
      <w:spacing w:after="120" w:line="240" w:lineRule="auto"/>
      <w:jc w:val="center"/>
    </w:pPr>
    <w:rPr>
      <w:b/>
      <w:bCs/>
      <w:sz w:val="20"/>
      <w:szCs w:val="18"/>
    </w:rPr>
  </w:style>
  <w:style w:type="table" w:styleId="TableGrid">
    <w:name w:val="Table Grid"/>
    <w:basedOn w:val="TableNormal"/>
    <w:rsid w:val="00084088"/>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Lyne</dc:creator>
  <cp:lastModifiedBy>Albert Lyne</cp:lastModifiedBy>
  <cp:revision>2</cp:revision>
  <dcterms:created xsi:type="dcterms:W3CDTF">2014-12-31T16:52:00Z</dcterms:created>
  <dcterms:modified xsi:type="dcterms:W3CDTF">2014-12-31T16:57:00Z</dcterms:modified>
</cp:coreProperties>
</file>