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41F" w:rsidRPr="00AD3798" w:rsidRDefault="00FA441F" w:rsidP="00FA441F">
      <w:pPr>
        <w:pStyle w:val="Default"/>
        <w:rPr>
          <w:sz w:val="22"/>
          <w:szCs w:val="22"/>
        </w:rPr>
      </w:pPr>
      <w:r w:rsidRPr="00AD3798">
        <w:rPr>
          <w:b/>
          <w:bCs/>
          <w:sz w:val="22"/>
          <w:szCs w:val="22"/>
        </w:rPr>
        <w:t>Narrative Benefits</w:t>
      </w:r>
    </w:p>
    <w:p w:rsidR="00FA441F" w:rsidRDefault="00FA441F" w:rsidP="00FA441F">
      <w:pPr>
        <w:pStyle w:val="Default"/>
        <w:rPr>
          <w:sz w:val="22"/>
          <w:szCs w:val="22"/>
        </w:rPr>
      </w:pPr>
      <w:r w:rsidRPr="00AD3798">
        <w:rPr>
          <w:sz w:val="22"/>
          <w:szCs w:val="22"/>
        </w:rPr>
        <w:t>The following description provides information related to the various sections of Benefit Cost Analysis (BCA) for the Landing Boulevard Extension and NASA 1 Extension project</w:t>
      </w:r>
      <w:r w:rsidR="00614C1A">
        <w:rPr>
          <w:sz w:val="22"/>
          <w:szCs w:val="22"/>
        </w:rPr>
        <w:t>. These benefits are projected to be realized over the lifetime of the project</w:t>
      </w:r>
      <w:r w:rsidRPr="00AD3798">
        <w:rPr>
          <w:sz w:val="22"/>
          <w:szCs w:val="22"/>
        </w:rPr>
        <w:t xml:space="preserve"> beginning with the proposed opening in 2020.  </w:t>
      </w:r>
    </w:p>
    <w:p w:rsidR="00614C1A" w:rsidRDefault="00614C1A" w:rsidP="00FA441F">
      <w:pPr>
        <w:pStyle w:val="Default"/>
        <w:rPr>
          <w:sz w:val="22"/>
          <w:szCs w:val="22"/>
        </w:rPr>
      </w:pPr>
    </w:p>
    <w:p w:rsidR="00614C1A" w:rsidRPr="00AD3798" w:rsidRDefault="00614C1A" w:rsidP="00FA441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Several project benefits including short term job creation, improved travel time, congestion reduction, safety improvement and creation of developable land are presented. </w:t>
      </w:r>
    </w:p>
    <w:p w:rsidR="00574BB5" w:rsidRPr="00AD3798" w:rsidRDefault="00574BB5" w:rsidP="00FA441F">
      <w:pPr>
        <w:pStyle w:val="Default"/>
        <w:rPr>
          <w:sz w:val="22"/>
          <w:szCs w:val="22"/>
        </w:rPr>
      </w:pPr>
    </w:p>
    <w:p w:rsidR="00574BB5" w:rsidRPr="00AD3798" w:rsidRDefault="00574BB5" w:rsidP="00FA441F">
      <w:pPr>
        <w:pStyle w:val="Default"/>
        <w:rPr>
          <w:sz w:val="22"/>
          <w:szCs w:val="22"/>
        </w:rPr>
      </w:pPr>
      <w:r w:rsidRPr="00AD3798">
        <w:rPr>
          <w:sz w:val="22"/>
          <w:szCs w:val="22"/>
        </w:rPr>
        <w:t xml:space="preserve">The Benefit Cost Analysis </w:t>
      </w:r>
      <w:r w:rsidR="0099333E" w:rsidRPr="00AD3798">
        <w:rPr>
          <w:sz w:val="22"/>
          <w:szCs w:val="22"/>
        </w:rPr>
        <w:t>Guidance for TIGER Grant Applicants, the TIGER Benefit-Cost Analysis (BCA) Resource Guide and other similar successful TIGER Grant Application Examples were used for reference in developing the estimated benefits of this project as presented in this section.</w:t>
      </w:r>
    </w:p>
    <w:p w:rsidR="00574BB5" w:rsidRPr="00AD3798" w:rsidRDefault="00574BB5" w:rsidP="00FA441F">
      <w:pPr>
        <w:pStyle w:val="Default"/>
        <w:rPr>
          <w:sz w:val="22"/>
          <w:szCs w:val="22"/>
        </w:rPr>
      </w:pPr>
    </w:p>
    <w:p w:rsidR="00FA441F" w:rsidRPr="00AD3798" w:rsidRDefault="00FA441F" w:rsidP="00FA441F">
      <w:pPr>
        <w:pStyle w:val="Default"/>
        <w:rPr>
          <w:sz w:val="22"/>
          <w:szCs w:val="22"/>
        </w:rPr>
      </w:pPr>
      <w:r w:rsidRPr="00AD3798">
        <w:rPr>
          <w:b/>
          <w:bCs/>
          <w:sz w:val="22"/>
          <w:szCs w:val="22"/>
        </w:rPr>
        <w:t xml:space="preserve">Project Cost </w:t>
      </w:r>
    </w:p>
    <w:p w:rsidR="00FA441F" w:rsidRPr="00AD3798" w:rsidRDefault="00FA441F" w:rsidP="00FA441F">
      <w:pPr>
        <w:pStyle w:val="Default"/>
        <w:rPr>
          <w:sz w:val="22"/>
          <w:szCs w:val="22"/>
        </w:rPr>
      </w:pPr>
      <w:r w:rsidRPr="00AD3798">
        <w:rPr>
          <w:sz w:val="22"/>
          <w:szCs w:val="22"/>
        </w:rPr>
        <w:t xml:space="preserve">Proposed construction costs were developed from project study estimates provided by the sponsoring municipalities of League City and Webster, Texas. </w:t>
      </w:r>
      <w:r w:rsidR="00EC1F3C" w:rsidRPr="00AD3798">
        <w:rPr>
          <w:sz w:val="22"/>
          <w:szCs w:val="22"/>
        </w:rPr>
        <w:t>Total construction costs for the project are estimated to be approximately $25.3 million over a period of three fiscal years from FY 2018 through FY 2020. Overall project costs are estimated to be approximately $31.7 million, including nearly $5 milli</w:t>
      </w:r>
      <w:r w:rsidR="00BF3E64">
        <w:rPr>
          <w:sz w:val="22"/>
          <w:szCs w:val="22"/>
        </w:rPr>
        <w:t>on for right-of-way acquisition and other costs for project development.</w:t>
      </w:r>
      <w:bookmarkStart w:id="0" w:name="_GoBack"/>
      <w:bookmarkEnd w:id="0"/>
    </w:p>
    <w:p w:rsidR="00FA441F" w:rsidRPr="00AD3798" w:rsidRDefault="00FA441F" w:rsidP="00FA441F">
      <w:pPr>
        <w:pStyle w:val="Default"/>
        <w:rPr>
          <w:b/>
          <w:bCs/>
          <w:sz w:val="22"/>
          <w:szCs w:val="22"/>
        </w:rPr>
      </w:pPr>
    </w:p>
    <w:p w:rsidR="00FA441F" w:rsidRPr="00AD3798" w:rsidRDefault="00FA441F" w:rsidP="00FA441F">
      <w:pPr>
        <w:pStyle w:val="Default"/>
        <w:rPr>
          <w:sz w:val="22"/>
          <w:szCs w:val="22"/>
        </w:rPr>
      </w:pPr>
      <w:r w:rsidRPr="00AD3798">
        <w:rPr>
          <w:b/>
          <w:bCs/>
          <w:sz w:val="22"/>
          <w:szCs w:val="22"/>
        </w:rPr>
        <w:t xml:space="preserve">Short Term Jobs </w:t>
      </w:r>
      <w:r w:rsidR="006103E2" w:rsidRPr="00AD3798">
        <w:rPr>
          <w:b/>
          <w:bCs/>
          <w:sz w:val="22"/>
          <w:szCs w:val="22"/>
        </w:rPr>
        <w:t>Benefit</w:t>
      </w:r>
    </w:p>
    <w:p w:rsidR="0099333E" w:rsidRPr="00AD3798" w:rsidRDefault="0099333E" w:rsidP="00FA441F">
      <w:pPr>
        <w:pStyle w:val="Default"/>
        <w:rPr>
          <w:sz w:val="22"/>
          <w:szCs w:val="22"/>
        </w:rPr>
      </w:pPr>
      <w:r w:rsidRPr="00AD3798">
        <w:rPr>
          <w:sz w:val="22"/>
          <w:szCs w:val="22"/>
        </w:rPr>
        <w:t>The TIGER 3 FAQ’s page of the USDOT Application Resources website states that “The USDOT estimates that there are 13,000 jobs created per $1 billion dollars of government investment (or $76,900 per job year).”  Therefore, it is estimated for this project that every $76,900 of project construction value will create one job for on year.</w:t>
      </w:r>
    </w:p>
    <w:p w:rsidR="0099333E" w:rsidRPr="00AD3798" w:rsidRDefault="0099333E" w:rsidP="00FA441F">
      <w:pPr>
        <w:pStyle w:val="Default"/>
        <w:rPr>
          <w:sz w:val="22"/>
          <w:szCs w:val="22"/>
        </w:rPr>
      </w:pPr>
    </w:p>
    <w:p w:rsidR="00EC1F3C" w:rsidRPr="00AD3798" w:rsidRDefault="003C70E3" w:rsidP="00FA441F">
      <w:pPr>
        <w:pStyle w:val="Default"/>
        <w:rPr>
          <w:sz w:val="22"/>
          <w:szCs w:val="22"/>
        </w:rPr>
      </w:pPr>
      <w:r w:rsidRPr="00AD3798">
        <w:rPr>
          <w:sz w:val="22"/>
          <w:szCs w:val="22"/>
        </w:rPr>
        <w:t xml:space="preserve">Using this method, the Landing Boulevard Extension and NASA 1 Extension project is estimated to create approximately 109 short term jobs. To calculate this estimate, the proposed construction cost of </w:t>
      </w:r>
      <w:r w:rsidR="00EC1F3C" w:rsidRPr="00AD3798">
        <w:rPr>
          <w:sz w:val="22"/>
          <w:szCs w:val="22"/>
        </w:rPr>
        <w:t>$25,333,202</w:t>
      </w:r>
      <w:r w:rsidRPr="00AD3798">
        <w:rPr>
          <w:sz w:val="22"/>
          <w:szCs w:val="22"/>
        </w:rPr>
        <w:t xml:space="preserve"> is divided by the </w:t>
      </w:r>
      <w:r w:rsidR="00EC1F3C" w:rsidRPr="00AD3798">
        <w:rPr>
          <w:sz w:val="22"/>
          <w:szCs w:val="22"/>
        </w:rPr>
        <w:t xml:space="preserve">$76,900 </w:t>
      </w:r>
      <w:r w:rsidRPr="00AD3798">
        <w:rPr>
          <w:sz w:val="22"/>
          <w:szCs w:val="22"/>
        </w:rPr>
        <w:t>as defined above and then divided by three to account for the three year period for proposed construction expenditures.</w:t>
      </w:r>
    </w:p>
    <w:p w:rsidR="00EC1F3C" w:rsidRPr="00AD3798" w:rsidRDefault="00EC1F3C" w:rsidP="00FA441F">
      <w:pPr>
        <w:pStyle w:val="Default"/>
        <w:rPr>
          <w:sz w:val="22"/>
          <w:szCs w:val="22"/>
        </w:rPr>
      </w:pPr>
    </w:p>
    <w:p w:rsidR="00FA441F" w:rsidRPr="00AD3798" w:rsidRDefault="00FA441F" w:rsidP="00FA441F">
      <w:pPr>
        <w:pStyle w:val="Default"/>
        <w:rPr>
          <w:color w:val="auto"/>
          <w:sz w:val="22"/>
          <w:szCs w:val="22"/>
        </w:rPr>
      </w:pPr>
      <w:r w:rsidRPr="00AD3798">
        <w:rPr>
          <w:b/>
          <w:bCs/>
          <w:color w:val="auto"/>
          <w:sz w:val="22"/>
          <w:szCs w:val="22"/>
        </w:rPr>
        <w:t xml:space="preserve">Developable Land </w:t>
      </w:r>
      <w:r w:rsidR="006103E2" w:rsidRPr="00AD3798">
        <w:rPr>
          <w:b/>
          <w:bCs/>
          <w:color w:val="auto"/>
          <w:sz w:val="22"/>
          <w:szCs w:val="22"/>
        </w:rPr>
        <w:t xml:space="preserve">Benefit </w:t>
      </w:r>
      <w:r w:rsidRPr="00AD3798">
        <w:rPr>
          <w:b/>
          <w:bCs/>
          <w:color w:val="auto"/>
          <w:sz w:val="22"/>
          <w:szCs w:val="22"/>
        </w:rPr>
        <w:t xml:space="preserve">(Economic Competitiveness) </w:t>
      </w:r>
    </w:p>
    <w:p w:rsidR="001E6B73" w:rsidRPr="00AD3798" w:rsidRDefault="00004A6B" w:rsidP="00FA441F">
      <w:pPr>
        <w:pStyle w:val="Default"/>
        <w:rPr>
          <w:color w:val="auto"/>
          <w:sz w:val="22"/>
          <w:szCs w:val="22"/>
        </w:rPr>
      </w:pPr>
      <w:r w:rsidRPr="00AD3798">
        <w:rPr>
          <w:color w:val="auto"/>
          <w:sz w:val="22"/>
          <w:szCs w:val="22"/>
        </w:rPr>
        <w:t xml:space="preserve">On the southern portion of this project, most of the adjacent land uses are either currently developed or will not likely change as a result of this project.  These land uses include Challenger </w:t>
      </w:r>
      <w:r w:rsidR="00641BC2" w:rsidRPr="00AD3798">
        <w:rPr>
          <w:color w:val="auto"/>
          <w:sz w:val="22"/>
          <w:szCs w:val="22"/>
        </w:rPr>
        <w:t>Seven Memorial</w:t>
      </w:r>
      <w:r w:rsidRPr="00AD3798">
        <w:rPr>
          <w:color w:val="auto"/>
          <w:sz w:val="22"/>
          <w:szCs w:val="22"/>
        </w:rPr>
        <w:t xml:space="preserve"> Park</w:t>
      </w:r>
      <w:r w:rsidR="00641BC2" w:rsidRPr="00AD3798">
        <w:rPr>
          <w:color w:val="auto"/>
          <w:sz w:val="22"/>
          <w:szCs w:val="22"/>
        </w:rPr>
        <w:t xml:space="preserve"> and </w:t>
      </w:r>
      <w:r w:rsidRPr="00AD3798">
        <w:rPr>
          <w:color w:val="auto"/>
          <w:sz w:val="22"/>
          <w:szCs w:val="22"/>
        </w:rPr>
        <w:t xml:space="preserve">the </w:t>
      </w:r>
      <w:r w:rsidR="00641BC2" w:rsidRPr="00AD3798">
        <w:rPr>
          <w:color w:val="auto"/>
          <w:sz w:val="22"/>
          <w:szCs w:val="22"/>
        </w:rPr>
        <w:t>Forest Park East</w:t>
      </w:r>
      <w:r w:rsidRPr="00AD3798">
        <w:rPr>
          <w:color w:val="auto"/>
          <w:sz w:val="22"/>
          <w:szCs w:val="22"/>
        </w:rPr>
        <w:t xml:space="preserve"> Cemetery </w:t>
      </w:r>
      <w:r w:rsidR="00641BC2" w:rsidRPr="00AD3798">
        <w:rPr>
          <w:color w:val="auto"/>
          <w:sz w:val="22"/>
          <w:szCs w:val="22"/>
        </w:rPr>
        <w:t>as well as existing commercial and mixed use developments on West NASA Boulevard and closer to FM 518 (West Main Street)</w:t>
      </w:r>
      <w:r w:rsidRPr="00AD3798">
        <w:rPr>
          <w:color w:val="auto"/>
          <w:sz w:val="22"/>
          <w:szCs w:val="22"/>
        </w:rPr>
        <w:t>.</w:t>
      </w:r>
    </w:p>
    <w:p w:rsidR="00004A6B" w:rsidRPr="00AD3798" w:rsidRDefault="00004A6B" w:rsidP="00FA441F">
      <w:pPr>
        <w:pStyle w:val="Default"/>
        <w:rPr>
          <w:color w:val="auto"/>
          <w:sz w:val="22"/>
          <w:szCs w:val="22"/>
        </w:rPr>
      </w:pPr>
    </w:p>
    <w:p w:rsidR="0039630C" w:rsidRPr="00614C1A" w:rsidRDefault="00004A6B" w:rsidP="0039630C">
      <w:pPr>
        <w:pStyle w:val="Default"/>
        <w:rPr>
          <w:color w:val="auto"/>
          <w:sz w:val="22"/>
          <w:szCs w:val="22"/>
        </w:rPr>
      </w:pPr>
      <w:r w:rsidRPr="00614C1A">
        <w:rPr>
          <w:color w:val="auto"/>
          <w:sz w:val="22"/>
          <w:szCs w:val="22"/>
        </w:rPr>
        <w:t>The northern portion of th</w:t>
      </w:r>
      <w:r w:rsidR="006103E2" w:rsidRPr="00614C1A">
        <w:rPr>
          <w:color w:val="auto"/>
          <w:sz w:val="22"/>
          <w:szCs w:val="22"/>
        </w:rPr>
        <w:t>e</w:t>
      </w:r>
      <w:r w:rsidRPr="00614C1A">
        <w:rPr>
          <w:color w:val="auto"/>
          <w:sz w:val="22"/>
          <w:szCs w:val="22"/>
        </w:rPr>
        <w:t xml:space="preserve"> project </w:t>
      </w:r>
      <w:r w:rsidR="006103E2" w:rsidRPr="00614C1A">
        <w:rPr>
          <w:color w:val="auto"/>
          <w:sz w:val="22"/>
          <w:szCs w:val="22"/>
        </w:rPr>
        <w:t xml:space="preserve">area </w:t>
      </w:r>
      <w:r w:rsidRPr="00614C1A">
        <w:rPr>
          <w:color w:val="auto"/>
          <w:sz w:val="22"/>
          <w:szCs w:val="22"/>
        </w:rPr>
        <w:t xml:space="preserve">contains a higher potential for economic development. </w:t>
      </w:r>
      <w:r w:rsidR="0039630C" w:rsidRPr="00614C1A">
        <w:rPr>
          <w:color w:val="auto"/>
          <w:sz w:val="22"/>
          <w:szCs w:val="22"/>
        </w:rPr>
        <w:t>According to the HGAC Regional Land Use Information System</w:t>
      </w:r>
      <w:r w:rsidR="00614C1A" w:rsidRPr="00614C1A">
        <w:rPr>
          <w:color w:val="auto"/>
          <w:sz w:val="22"/>
          <w:szCs w:val="22"/>
        </w:rPr>
        <w:t xml:space="preserve"> (</w:t>
      </w:r>
      <w:r w:rsidR="00614C1A" w:rsidRPr="00614C1A">
        <w:rPr>
          <w:rStyle w:val="Hyperlink"/>
          <w:sz w:val="22"/>
          <w:szCs w:val="22"/>
        </w:rPr>
        <w:t>http://arcgis02.h-gac.com/RLUIS/</w:t>
      </w:r>
      <w:r w:rsidR="00614C1A" w:rsidRPr="00614C1A">
        <w:rPr>
          <w:color w:val="auto"/>
          <w:sz w:val="22"/>
          <w:szCs w:val="22"/>
        </w:rPr>
        <w:t>)</w:t>
      </w:r>
      <w:r w:rsidR="0039630C" w:rsidRPr="00614C1A">
        <w:rPr>
          <w:color w:val="auto"/>
          <w:sz w:val="22"/>
          <w:szCs w:val="22"/>
        </w:rPr>
        <w:t xml:space="preserve">, a large tract of vacant developable land is </w:t>
      </w:r>
      <w:r w:rsidRPr="00614C1A">
        <w:rPr>
          <w:color w:val="auto"/>
          <w:sz w:val="22"/>
          <w:szCs w:val="22"/>
        </w:rPr>
        <w:t xml:space="preserve">located west of I-45, south of FM 528 and east of West NASA Road. </w:t>
      </w:r>
      <w:r w:rsidR="0039630C" w:rsidRPr="00614C1A">
        <w:rPr>
          <w:color w:val="auto"/>
          <w:sz w:val="22"/>
          <w:szCs w:val="22"/>
        </w:rPr>
        <w:t xml:space="preserve">Based on </w:t>
      </w:r>
      <w:r w:rsidR="00614C1A">
        <w:rPr>
          <w:color w:val="auto"/>
          <w:sz w:val="22"/>
          <w:szCs w:val="22"/>
        </w:rPr>
        <w:t>year</w:t>
      </w:r>
      <w:r w:rsidR="0039630C" w:rsidRPr="00614C1A">
        <w:rPr>
          <w:color w:val="auto"/>
          <w:sz w:val="22"/>
          <w:szCs w:val="22"/>
        </w:rPr>
        <w:t xml:space="preserve"> 2014 parcel data from the Harris County Appraisal District, there are seven </w:t>
      </w:r>
      <w:r w:rsidR="00614C1A">
        <w:rPr>
          <w:color w:val="auto"/>
          <w:sz w:val="22"/>
          <w:szCs w:val="22"/>
        </w:rPr>
        <w:t xml:space="preserve">developable </w:t>
      </w:r>
      <w:r w:rsidR="0039630C" w:rsidRPr="00614C1A">
        <w:rPr>
          <w:color w:val="auto"/>
          <w:sz w:val="22"/>
          <w:szCs w:val="22"/>
        </w:rPr>
        <w:t>parcels totaling 130.7622 acres in the project area.</w:t>
      </w:r>
    </w:p>
    <w:p w:rsidR="00005267" w:rsidRPr="00614C1A" w:rsidRDefault="00005267" w:rsidP="0039630C">
      <w:pPr>
        <w:pStyle w:val="Default"/>
        <w:rPr>
          <w:color w:val="auto"/>
          <w:sz w:val="22"/>
          <w:szCs w:val="22"/>
        </w:rPr>
      </w:pPr>
    </w:p>
    <w:p w:rsidR="00005267" w:rsidRPr="00614C1A" w:rsidRDefault="00005267">
      <w:pPr>
        <w:rPr>
          <w:rFonts w:ascii="Arial" w:hAnsi="Arial" w:cs="Arial"/>
        </w:rPr>
      </w:pPr>
      <w:r w:rsidRPr="00614C1A">
        <w:rPr>
          <w:rFonts w:ascii="Arial" w:hAnsi="Arial" w:cs="Arial"/>
        </w:rPr>
        <w:br w:type="page"/>
      </w:r>
    </w:p>
    <w:p w:rsidR="00005267" w:rsidRPr="00AD3798" w:rsidRDefault="00005267" w:rsidP="0039630C">
      <w:pPr>
        <w:pStyle w:val="Default"/>
        <w:rPr>
          <w:color w:val="auto"/>
          <w:sz w:val="22"/>
          <w:szCs w:val="22"/>
        </w:rPr>
      </w:pPr>
      <w:r w:rsidRPr="00AD3798">
        <w:rPr>
          <w:color w:val="auto"/>
          <w:sz w:val="22"/>
          <w:szCs w:val="22"/>
        </w:rPr>
        <w:lastRenderedPageBreak/>
        <w:t xml:space="preserve">These </w:t>
      </w:r>
      <w:r w:rsidR="00614C1A">
        <w:rPr>
          <w:color w:val="auto"/>
          <w:sz w:val="22"/>
          <w:szCs w:val="22"/>
        </w:rPr>
        <w:t xml:space="preserve">developable </w:t>
      </w:r>
      <w:r w:rsidRPr="00AD3798">
        <w:rPr>
          <w:color w:val="auto"/>
          <w:sz w:val="22"/>
          <w:szCs w:val="22"/>
        </w:rPr>
        <w:t>parcels are identified as follows:</w:t>
      </w:r>
    </w:p>
    <w:p w:rsidR="00005267" w:rsidRPr="00AD3798" w:rsidRDefault="00005267" w:rsidP="0039630C">
      <w:pPr>
        <w:pStyle w:val="Default"/>
        <w:rPr>
          <w:color w:val="auto"/>
          <w:sz w:val="22"/>
          <w:szCs w:val="22"/>
        </w:rPr>
      </w:pPr>
    </w:p>
    <w:tbl>
      <w:tblPr>
        <w:tblW w:w="5358" w:type="dxa"/>
        <w:jc w:val="center"/>
        <w:tblInd w:w="-1749" w:type="dxa"/>
        <w:tblLook w:val="04A0"/>
      </w:tblPr>
      <w:tblGrid>
        <w:gridCol w:w="3669"/>
        <w:gridCol w:w="1689"/>
      </w:tblGrid>
      <w:tr w:rsidR="00005267" w:rsidRPr="00AD3798" w:rsidTr="00005267">
        <w:trPr>
          <w:trHeight w:val="300"/>
          <w:jc w:val="center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267" w:rsidRPr="00AD3798" w:rsidRDefault="00005267" w:rsidP="00005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AD3798">
              <w:rPr>
                <w:rFonts w:ascii="Arial" w:eastAsia="Times New Roman" w:hAnsi="Arial" w:cs="Arial"/>
                <w:b/>
                <w:color w:val="000000"/>
              </w:rPr>
              <w:t>Parcel ID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267" w:rsidRPr="00AD3798" w:rsidRDefault="00005267" w:rsidP="00005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AD3798">
              <w:rPr>
                <w:rFonts w:ascii="Arial" w:eastAsia="Times New Roman" w:hAnsi="Arial" w:cs="Arial"/>
                <w:b/>
                <w:color w:val="000000"/>
              </w:rPr>
              <w:t>Acreage</w:t>
            </w:r>
          </w:p>
        </w:tc>
      </w:tr>
      <w:tr w:rsidR="00005267" w:rsidRPr="00AD3798" w:rsidTr="00005267">
        <w:trPr>
          <w:trHeight w:val="300"/>
          <w:jc w:val="center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267" w:rsidRPr="00AD3798" w:rsidRDefault="00005267" w:rsidP="000052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3798">
              <w:rPr>
                <w:rFonts w:ascii="Arial" w:eastAsia="Times New Roman" w:hAnsi="Arial" w:cs="Arial"/>
                <w:color w:val="000000"/>
              </w:rPr>
              <w:t>036-164-000-0010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267" w:rsidRPr="00AD3798" w:rsidRDefault="00005267" w:rsidP="000052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3798">
              <w:rPr>
                <w:rFonts w:ascii="Arial" w:eastAsia="Times New Roman" w:hAnsi="Arial" w:cs="Arial"/>
                <w:color w:val="000000"/>
              </w:rPr>
              <w:t>11.938</w:t>
            </w:r>
          </w:p>
        </w:tc>
      </w:tr>
      <w:tr w:rsidR="00005267" w:rsidRPr="00AD3798" w:rsidTr="00005267">
        <w:trPr>
          <w:trHeight w:val="300"/>
          <w:jc w:val="center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267" w:rsidRPr="00AD3798" w:rsidRDefault="00005267" w:rsidP="000052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3798">
              <w:rPr>
                <w:rFonts w:ascii="Arial" w:eastAsia="Times New Roman" w:hAnsi="Arial" w:cs="Arial"/>
                <w:color w:val="000000"/>
              </w:rPr>
              <w:t>036-169-000-0003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267" w:rsidRPr="00AD3798" w:rsidRDefault="00005267" w:rsidP="000052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3798">
              <w:rPr>
                <w:rFonts w:ascii="Arial" w:eastAsia="Times New Roman" w:hAnsi="Arial" w:cs="Arial"/>
                <w:color w:val="000000"/>
              </w:rPr>
              <w:t>19.75</w:t>
            </w:r>
          </w:p>
        </w:tc>
      </w:tr>
      <w:tr w:rsidR="00005267" w:rsidRPr="00AD3798" w:rsidTr="00005267">
        <w:trPr>
          <w:trHeight w:val="300"/>
          <w:jc w:val="center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267" w:rsidRPr="00AD3798" w:rsidRDefault="00005267" w:rsidP="00946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3798">
              <w:rPr>
                <w:rFonts w:ascii="Arial" w:eastAsia="Times New Roman" w:hAnsi="Arial" w:cs="Arial"/>
                <w:color w:val="000000"/>
              </w:rPr>
              <w:t>036-169-000-0004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267" w:rsidRPr="00AD3798" w:rsidRDefault="00005267" w:rsidP="00946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3798">
              <w:rPr>
                <w:rFonts w:ascii="Arial" w:eastAsia="Times New Roman" w:hAnsi="Arial" w:cs="Arial"/>
                <w:color w:val="000000"/>
              </w:rPr>
              <w:t>34.9233</w:t>
            </w:r>
          </w:p>
        </w:tc>
      </w:tr>
      <w:tr w:rsidR="00005267" w:rsidRPr="00AD3798" w:rsidTr="00005267">
        <w:trPr>
          <w:trHeight w:val="300"/>
          <w:jc w:val="center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267" w:rsidRPr="00AD3798" w:rsidRDefault="00005267" w:rsidP="00946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3798">
              <w:rPr>
                <w:rFonts w:ascii="Arial" w:eastAsia="Times New Roman" w:hAnsi="Arial" w:cs="Arial"/>
                <w:color w:val="000000"/>
              </w:rPr>
              <w:t>036-169-000-0006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5267" w:rsidRPr="00AD3798" w:rsidRDefault="00005267" w:rsidP="00946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3798">
              <w:rPr>
                <w:rFonts w:ascii="Arial" w:eastAsia="Times New Roman" w:hAnsi="Arial" w:cs="Arial"/>
                <w:color w:val="000000"/>
              </w:rPr>
              <w:t>54.6609</w:t>
            </w:r>
          </w:p>
        </w:tc>
      </w:tr>
      <w:tr w:rsidR="00005267" w:rsidRPr="00AD3798" w:rsidTr="00005267">
        <w:trPr>
          <w:trHeight w:val="300"/>
          <w:jc w:val="center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267" w:rsidRPr="00AD3798" w:rsidRDefault="00005267" w:rsidP="000052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3798">
              <w:rPr>
                <w:rFonts w:ascii="Arial" w:eastAsia="Times New Roman" w:hAnsi="Arial" w:cs="Arial"/>
                <w:color w:val="000000"/>
              </w:rPr>
              <w:t>036-169-000-0017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267" w:rsidRPr="00AD3798" w:rsidRDefault="00005267" w:rsidP="000052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3798">
              <w:rPr>
                <w:rFonts w:ascii="Arial" w:eastAsia="Times New Roman" w:hAnsi="Arial" w:cs="Arial"/>
                <w:color w:val="000000"/>
              </w:rPr>
              <w:t>5.49</w:t>
            </w:r>
          </w:p>
        </w:tc>
      </w:tr>
      <w:tr w:rsidR="00005267" w:rsidRPr="00AD3798" w:rsidTr="00005267">
        <w:trPr>
          <w:trHeight w:val="300"/>
          <w:jc w:val="center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267" w:rsidRPr="00AD3798" w:rsidRDefault="00005267" w:rsidP="000052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3798">
              <w:rPr>
                <w:rFonts w:ascii="Arial" w:eastAsia="Times New Roman" w:hAnsi="Arial" w:cs="Arial"/>
                <w:color w:val="000000"/>
              </w:rPr>
              <w:t>036-169-000-0020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267" w:rsidRPr="00AD3798" w:rsidRDefault="00005267" w:rsidP="000052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D3798">
              <w:rPr>
                <w:rFonts w:ascii="Arial" w:eastAsia="Times New Roman" w:hAnsi="Arial" w:cs="Arial"/>
                <w:color w:val="000000"/>
              </w:rPr>
              <w:t>4.00</w:t>
            </w:r>
          </w:p>
        </w:tc>
      </w:tr>
      <w:tr w:rsidR="00005267" w:rsidRPr="00AD3798" w:rsidTr="00005267">
        <w:trPr>
          <w:trHeight w:val="300"/>
          <w:jc w:val="center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5267" w:rsidRPr="00AD3798" w:rsidRDefault="00005267" w:rsidP="00005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AD3798">
              <w:rPr>
                <w:rFonts w:ascii="Arial" w:eastAsia="Times New Roman" w:hAnsi="Arial" w:cs="Arial"/>
                <w:b/>
                <w:color w:val="000000"/>
              </w:rPr>
              <w:t>Total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267" w:rsidRPr="00AD3798" w:rsidRDefault="00005267" w:rsidP="000052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AD3798">
              <w:rPr>
                <w:rFonts w:ascii="Arial" w:eastAsia="Times New Roman" w:hAnsi="Arial" w:cs="Arial"/>
                <w:b/>
                <w:color w:val="000000"/>
              </w:rPr>
              <w:t>130.7622</w:t>
            </w:r>
          </w:p>
        </w:tc>
      </w:tr>
    </w:tbl>
    <w:p w:rsidR="00005267" w:rsidRPr="00AD3798" w:rsidRDefault="00005267" w:rsidP="0039630C">
      <w:pPr>
        <w:pStyle w:val="Default"/>
        <w:rPr>
          <w:color w:val="auto"/>
          <w:sz w:val="22"/>
          <w:szCs w:val="22"/>
        </w:rPr>
      </w:pPr>
    </w:p>
    <w:p w:rsidR="00737B55" w:rsidRPr="00AD3798" w:rsidRDefault="00737B55" w:rsidP="0039630C">
      <w:pPr>
        <w:pStyle w:val="Default"/>
        <w:rPr>
          <w:color w:val="auto"/>
          <w:sz w:val="22"/>
          <w:szCs w:val="22"/>
        </w:rPr>
      </w:pPr>
      <w:r w:rsidRPr="00AD3798">
        <w:rPr>
          <w:color w:val="auto"/>
          <w:sz w:val="22"/>
          <w:szCs w:val="22"/>
        </w:rPr>
        <w:t xml:space="preserve">Because a portion of this developable land will be utilized for the project right-of-way, and in consultation with the City of Webster’s Economic Development Department, the estimated </w:t>
      </w:r>
      <w:r w:rsidR="00614C1A">
        <w:rPr>
          <w:color w:val="auto"/>
          <w:sz w:val="22"/>
          <w:szCs w:val="22"/>
        </w:rPr>
        <w:t xml:space="preserve">developable land </w:t>
      </w:r>
      <w:r w:rsidRPr="00AD3798">
        <w:rPr>
          <w:color w:val="auto"/>
          <w:sz w:val="22"/>
          <w:szCs w:val="22"/>
        </w:rPr>
        <w:t xml:space="preserve">benefit will be calculated based on a total of 128 acres. </w:t>
      </w:r>
    </w:p>
    <w:p w:rsidR="00737B55" w:rsidRPr="00AD3798" w:rsidRDefault="00737B55" w:rsidP="0039630C">
      <w:pPr>
        <w:pStyle w:val="Default"/>
        <w:rPr>
          <w:color w:val="auto"/>
          <w:sz w:val="22"/>
          <w:szCs w:val="22"/>
        </w:rPr>
      </w:pPr>
    </w:p>
    <w:p w:rsidR="00DB642C" w:rsidRPr="00AD3798" w:rsidRDefault="00DB642C" w:rsidP="0039630C">
      <w:pPr>
        <w:pStyle w:val="Default"/>
        <w:rPr>
          <w:color w:val="auto"/>
          <w:sz w:val="22"/>
          <w:szCs w:val="22"/>
        </w:rPr>
      </w:pPr>
      <w:r w:rsidRPr="00AD3798">
        <w:rPr>
          <w:color w:val="auto"/>
          <w:sz w:val="22"/>
          <w:szCs w:val="22"/>
        </w:rPr>
        <w:t>Several adjacent developed land parcels were surveyed for the purposes of providing a representative value for properties near the study area. According to the Harris County Appraisal District Website (</w:t>
      </w:r>
      <w:hyperlink r:id="rId4" w:history="1">
        <w:r w:rsidRPr="00AD3798">
          <w:rPr>
            <w:rStyle w:val="Hyperlink"/>
            <w:sz w:val="22"/>
            <w:szCs w:val="22"/>
          </w:rPr>
          <w:t>http://www.hcad.org/default.asp</w:t>
        </w:r>
      </w:hyperlink>
      <w:r w:rsidRPr="00AD3798">
        <w:rPr>
          <w:color w:val="auto"/>
          <w:sz w:val="22"/>
          <w:szCs w:val="22"/>
        </w:rPr>
        <w:t>), assessed land values in the area vary widely from more than $1.5 million per acre to approximately $</w:t>
      </w:r>
      <w:r w:rsidR="00A80B38" w:rsidRPr="00AD3798">
        <w:rPr>
          <w:color w:val="auto"/>
          <w:sz w:val="22"/>
          <w:szCs w:val="22"/>
        </w:rPr>
        <w:t>8,700</w:t>
      </w:r>
      <w:r w:rsidRPr="00AD3798">
        <w:rPr>
          <w:color w:val="auto"/>
          <w:sz w:val="22"/>
          <w:szCs w:val="22"/>
        </w:rPr>
        <w:t xml:space="preserve"> per acre based on specific location, access and freeway frontage. </w:t>
      </w:r>
      <w:r w:rsidR="00A80B38" w:rsidRPr="00AD3798">
        <w:rPr>
          <w:color w:val="auto"/>
          <w:sz w:val="22"/>
          <w:szCs w:val="22"/>
        </w:rPr>
        <w:t>In consultation with the City of Webster’s Economic Development Department, a</w:t>
      </w:r>
      <w:r w:rsidRPr="00AD3798">
        <w:rPr>
          <w:color w:val="auto"/>
          <w:sz w:val="22"/>
          <w:szCs w:val="22"/>
        </w:rPr>
        <w:t xml:space="preserve"> conservative average of $871,200 per acre ($20/square foot) is used to calculate existing land values</w:t>
      </w:r>
      <w:r w:rsidR="00A80B38" w:rsidRPr="00AD3798">
        <w:rPr>
          <w:color w:val="auto"/>
          <w:sz w:val="22"/>
          <w:szCs w:val="22"/>
        </w:rPr>
        <w:t>.</w:t>
      </w:r>
    </w:p>
    <w:p w:rsidR="00DB642C" w:rsidRPr="00AD3798" w:rsidRDefault="00DB642C" w:rsidP="0039630C">
      <w:pPr>
        <w:pStyle w:val="Default"/>
        <w:rPr>
          <w:color w:val="auto"/>
          <w:sz w:val="22"/>
          <w:szCs w:val="22"/>
        </w:rPr>
      </w:pPr>
    </w:p>
    <w:p w:rsidR="00DB642C" w:rsidRPr="00AD3798" w:rsidRDefault="00A80B38" w:rsidP="0039630C">
      <w:pPr>
        <w:pStyle w:val="Default"/>
        <w:rPr>
          <w:color w:val="auto"/>
          <w:sz w:val="22"/>
          <w:szCs w:val="22"/>
        </w:rPr>
      </w:pPr>
      <w:r w:rsidRPr="00AD3798">
        <w:rPr>
          <w:color w:val="auto"/>
          <w:sz w:val="22"/>
          <w:szCs w:val="22"/>
        </w:rPr>
        <w:t>The existing land parcels surveyed to calculate this present value estimate are as follows</w:t>
      </w:r>
    </w:p>
    <w:p w:rsidR="00DB642C" w:rsidRPr="00AD3798" w:rsidRDefault="00DB642C" w:rsidP="0039630C">
      <w:pPr>
        <w:pStyle w:val="Default"/>
        <w:rPr>
          <w:color w:val="auto"/>
          <w:sz w:val="22"/>
          <w:szCs w:val="22"/>
        </w:rPr>
      </w:pPr>
    </w:p>
    <w:tbl>
      <w:tblPr>
        <w:tblW w:w="7934" w:type="dxa"/>
        <w:jc w:val="center"/>
        <w:tblInd w:w="-1749" w:type="dxa"/>
        <w:tblLook w:val="04A0"/>
      </w:tblPr>
      <w:tblGrid>
        <w:gridCol w:w="3669"/>
        <w:gridCol w:w="1689"/>
        <w:gridCol w:w="2576"/>
      </w:tblGrid>
      <w:tr w:rsidR="00A80B38" w:rsidRPr="00AD3798" w:rsidTr="00A80B38">
        <w:trPr>
          <w:trHeight w:val="300"/>
          <w:jc w:val="center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80B38" w:rsidRPr="00AD3798" w:rsidRDefault="00A80B38" w:rsidP="00AD3798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AD3798">
              <w:rPr>
                <w:b/>
                <w:color w:val="auto"/>
                <w:sz w:val="22"/>
                <w:szCs w:val="22"/>
              </w:rPr>
              <w:t>Parcel ID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38" w:rsidRPr="00AD3798" w:rsidRDefault="00A80B38" w:rsidP="00AD3798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AD3798">
              <w:rPr>
                <w:b/>
                <w:color w:val="auto"/>
                <w:sz w:val="22"/>
                <w:szCs w:val="22"/>
              </w:rPr>
              <w:t>Acreage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80B38" w:rsidRPr="00AD3798" w:rsidRDefault="00A80B38" w:rsidP="00AD3798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AD3798">
              <w:rPr>
                <w:b/>
                <w:color w:val="auto"/>
                <w:sz w:val="22"/>
                <w:szCs w:val="22"/>
              </w:rPr>
              <w:t>Assessed Value/Acre*</w:t>
            </w:r>
          </w:p>
        </w:tc>
      </w:tr>
      <w:tr w:rsidR="00A80B38" w:rsidRPr="00AD3798" w:rsidTr="00AD3798">
        <w:trPr>
          <w:trHeight w:val="300"/>
          <w:jc w:val="center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B38" w:rsidRPr="00AD3798" w:rsidRDefault="00AD3798" w:rsidP="00AD379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D3798">
              <w:rPr>
                <w:color w:val="auto"/>
                <w:sz w:val="22"/>
                <w:szCs w:val="22"/>
              </w:rPr>
              <w:t>116-690-000-0001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B38" w:rsidRPr="00AD3798" w:rsidRDefault="00AD3798" w:rsidP="00AD379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D3798">
              <w:rPr>
                <w:color w:val="auto"/>
                <w:sz w:val="22"/>
                <w:szCs w:val="22"/>
              </w:rPr>
              <w:t>4.3483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0B38" w:rsidRPr="00AD3798" w:rsidRDefault="00AD3798" w:rsidP="00AD379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D3798">
              <w:rPr>
                <w:color w:val="auto"/>
                <w:sz w:val="22"/>
                <w:szCs w:val="22"/>
              </w:rPr>
              <w:t>$1,877,280</w:t>
            </w:r>
          </w:p>
        </w:tc>
      </w:tr>
      <w:tr w:rsidR="00AD3798" w:rsidRPr="00AD3798" w:rsidTr="00A80B38">
        <w:trPr>
          <w:trHeight w:val="300"/>
          <w:jc w:val="center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798" w:rsidRPr="00AD3798" w:rsidRDefault="00AD3798" w:rsidP="00AD379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D3798">
              <w:rPr>
                <w:color w:val="auto"/>
                <w:sz w:val="22"/>
                <w:szCs w:val="22"/>
              </w:rPr>
              <w:t>131-226-001-0002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798" w:rsidRPr="00AD3798" w:rsidRDefault="00AD3798" w:rsidP="00AD379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D3798">
              <w:rPr>
                <w:color w:val="auto"/>
                <w:sz w:val="22"/>
                <w:szCs w:val="22"/>
              </w:rPr>
              <w:t>1.1551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3798" w:rsidRPr="00AD3798" w:rsidRDefault="00AD3798" w:rsidP="00AD379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D3798">
              <w:rPr>
                <w:color w:val="auto"/>
                <w:sz w:val="22"/>
                <w:szCs w:val="22"/>
              </w:rPr>
              <w:t>$1.539,000</w:t>
            </w:r>
          </w:p>
        </w:tc>
      </w:tr>
      <w:tr w:rsidR="00AD3798" w:rsidRPr="00AD3798" w:rsidTr="00A80B38">
        <w:trPr>
          <w:trHeight w:val="300"/>
          <w:jc w:val="center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798" w:rsidRPr="00AD3798" w:rsidRDefault="00AD3798" w:rsidP="00AD379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D3798">
              <w:rPr>
                <w:color w:val="auto"/>
                <w:sz w:val="22"/>
                <w:szCs w:val="22"/>
              </w:rPr>
              <w:t>129-910-003-0001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798" w:rsidRPr="00AD3798" w:rsidRDefault="00AD3798" w:rsidP="00AD379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D3798">
              <w:rPr>
                <w:color w:val="auto"/>
                <w:sz w:val="22"/>
                <w:szCs w:val="22"/>
              </w:rPr>
              <w:t>1.0304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3798" w:rsidRPr="00AD3798" w:rsidRDefault="00AD3798" w:rsidP="00AD379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D3798">
              <w:rPr>
                <w:color w:val="auto"/>
                <w:sz w:val="22"/>
                <w:szCs w:val="22"/>
              </w:rPr>
              <w:t>$1,017,770</w:t>
            </w:r>
          </w:p>
        </w:tc>
      </w:tr>
      <w:tr w:rsidR="00AD3798" w:rsidRPr="00AD3798" w:rsidTr="00AD3798">
        <w:trPr>
          <w:trHeight w:val="300"/>
          <w:jc w:val="center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798" w:rsidRPr="00AD3798" w:rsidRDefault="00AD3798" w:rsidP="00AD379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D3798">
              <w:rPr>
                <w:color w:val="auto"/>
                <w:sz w:val="22"/>
                <w:szCs w:val="22"/>
              </w:rPr>
              <w:t>129-237-001-0001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798" w:rsidRPr="00AD3798" w:rsidRDefault="00AD3798" w:rsidP="00AD379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D3798">
              <w:rPr>
                <w:color w:val="auto"/>
                <w:sz w:val="22"/>
                <w:szCs w:val="22"/>
              </w:rPr>
              <w:t>2.3072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798" w:rsidRPr="00AD3798" w:rsidRDefault="00AD3798" w:rsidP="00AD379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D3798">
              <w:rPr>
                <w:color w:val="auto"/>
                <w:sz w:val="22"/>
                <w:szCs w:val="22"/>
              </w:rPr>
              <w:t>$998,800</w:t>
            </w:r>
          </w:p>
        </w:tc>
      </w:tr>
      <w:tr w:rsidR="00AD3798" w:rsidRPr="00AD3798" w:rsidTr="00A80B38">
        <w:trPr>
          <w:trHeight w:val="300"/>
          <w:jc w:val="center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798" w:rsidRPr="00AD3798" w:rsidRDefault="00AD3798" w:rsidP="00AD379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D3798">
              <w:rPr>
                <w:color w:val="auto"/>
                <w:sz w:val="22"/>
                <w:szCs w:val="22"/>
              </w:rPr>
              <w:t>131-226-001-0004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798" w:rsidRPr="00AD3798" w:rsidRDefault="00AD3798" w:rsidP="00AD379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D3798">
              <w:rPr>
                <w:color w:val="auto"/>
                <w:sz w:val="22"/>
                <w:szCs w:val="22"/>
              </w:rPr>
              <w:t>8.0224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798" w:rsidRPr="00AD3798" w:rsidRDefault="00AD3798" w:rsidP="00AD379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D3798">
              <w:rPr>
                <w:color w:val="auto"/>
                <w:sz w:val="22"/>
                <w:szCs w:val="22"/>
              </w:rPr>
              <w:t>$877,230</w:t>
            </w:r>
          </w:p>
        </w:tc>
      </w:tr>
      <w:tr w:rsidR="00AD3798" w:rsidRPr="00AD3798" w:rsidTr="00A80B38">
        <w:trPr>
          <w:trHeight w:val="300"/>
          <w:jc w:val="center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798" w:rsidRPr="00AD3798" w:rsidRDefault="00AD3798" w:rsidP="00AD379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D3798">
              <w:rPr>
                <w:color w:val="auto"/>
                <w:sz w:val="22"/>
                <w:szCs w:val="22"/>
              </w:rPr>
              <w:t>129-910-002-0001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798" w:rsidRPr="00AD3798" w:rsidRDefault="00AD3798" w:rsidP="00AD379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D3798">
              <w:rPr>
                <w:color w:val="auto"/>
                <w:sz w:val="22"/>
                <w:szCs w:val="22"/>
              </w:rPr>
              <w:t>1.3364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3798" w:rsidRPr="00AD3798" w:rsidRDefault="00AD3798" w:rsidP="00AD379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D3798">
              <w:rPr>
                <w:color w:val="auto"/>
                <w:sz w:val="22"/>
                <w:szCs w:val="22"/>
              </w:rPr>
              <w:t>$563,380</w:t>
            </w:r>
          </w:p>
        </w:tc>
      </w:tr>
      <w:tr w:rsidR="00A80B38" w:rsidRPr="00AD3798" w:rsidTr="00A80B38">
        <w:trPr>
          <w:trHeight w:val="300"/>
          <w:jc w:val="center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B38" w:rsidRPr="00AD3798" w:rsidRDefault="00A80B38" w:rsidP="00AD379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D3798">
              <w:rPr>
                <w:color w:val="auto"/>
                <w:sz w:val="22"/>
                <w:szCs w:val="22"/>
              </w:rPr>
              <w:t>129-237-001-0002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B38" w:rsidRPr="00AD3798" w:rsidRDefault="00A80B38" w:rsidP="00AD379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D3798">
              <w:rPr>
                <w:color w:val="auto"/>
                <w:sz w:val="22"/>
                <w:szCs w:val="22"/>
              </w:rPr>
              <w:t>2.5074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B38" w:rsidRPr="00AD3798" w:rsidRDefault="00A80B38" w:rsidP="00AD379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D3798">
              <w:rPr>
                <w:color w:val="auto"/>
                <w:sz w:val="22"/>
                <w:szCs w:val="22"/>
              </w:rPr>
              <w:t>$209,071</w:t>
            </w:r>
          </w:p>
        </w:tc>
      </w:tr>
      <w:tr w:rsidR="00A80B38" w:rsidRPr="00AD3798" w:rsidTr="00A80B38">
        <w:trPr>
          <w:trHeight w:val="300"/>
          <w:jc w:val="center"/>
        </w:trPr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B38" w:rsidRPr="00AD3798" w:rsidRDefault="00A80B38" w:rsidP="00AD379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D3798">
              <w:rPr>
                <w:color w:val="auto"/>
                <w:sz w:val="22"/>
                <w:szCs w:val="22"/>
              </w:rPr>
              <w:t>036-170-000-0005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0B38" w:rsidRPr="00AD3798" w:rsidRDefault="00A80B38" w:rsidP="00AD379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D3798">
              <w:rPr>
                <w:color w:val="auto"/>
                <w:sz w:val="22"/>
                <w:szCs w:val="22"/>
              </w:rPr>
              <w:t>2.0504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0B38" w:rsidRPr="00AD3798" w:rsidRDefault="00A80B38" w:rsidP="00AD379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AD3798">
              <w:rPr>
                <w:color w:val="auto"/>
                <w:sz w:val="22"/>
                <w:szCs w:val="22"/>
              </w:rPr>
              <w:t>$8712</w:t>
            </w:r>
          </w:p>
        </w:tc>
      </w:tr>
    </w:tbl>
    <w:p w:rsidR="00DB642C" w:rsidRPr="00AD3798" w:rsidRDefault="00A80B38" w:rsidP="00AD3798">
      <w:pPr>
        <w:pStyle w:val="Default"/>
        <w:ind w:left="1440"/>
        <w:rPr>
          <w:color w:val="auto"/>
          <w:sz w:val="22"/>
          <w:szCs w:val="22"/>
        </w:rPr>
      </w:pPr>
      <w:r w:rsidRPr="00AD3798">
        <w:rPr>
          <w:color w:val="auto"/>
          <w:sz w:val="22"/>
          <w:szCs w:val="22"/>
        </w:rPr>
        <w:t>*Approximate per acre values</w:t>
      </w:r>
    </w:p>
    <w:p w:rsidR="00A80B38" w:rsidRPr="00AD3798" w:rsidRDefault="00A80B38" w:rsidP="00A80B38">
      <w:pPr>
        <w:pStyle w:val="Default"/>
        <w:jc w:val="both"/>
        <w:rPr>
          <w:color w:val="auto"/>
          <w:sz w:val="22"/>
          <w:szCs w:val="22"/>
        </w:rPr>
      </w:pPr>
    </w:p>
    <w:p w:rsidR="00A80B38" w:rsidRPr="00AD3798" w:rsidRDefault="00A80B38" w:rsidP="00A80B38">
      <w:pPr>
        <w:pStyle w:val="Default"/>
        <w:jc w:val="both"/>
        <w:rPr>
          <w:color w:val="auto"/>
          <w:sz w:val="22"/>
          <w:szCs w:val="22"/>
        </w:rPr>
      </w:pPr>
      <w:r w:rsidRPr="00AD3798">
        <w:rPr>
          <w:color w:val="auto"/>
          <w:sz w:val="22"/>
          <w:szCs w:val="22"/>
        </w:rPr>
        <w:t xml:space="preserve">Based on these factors, it is estimated that the </w:t>
      </w:r>
      <w:r w:rsidR="006B552C">
        <w:rPr>
          <w:color w:val="auto"/>
          <w:sz w:val="22"/>
          <w:szCs w:val="22"/>
        </w:rPr>
        <w:t>lifetime b</w:t>
      </w:r>
      <w:r w:rsidR="00902422" w:rsidRPr="00AD3798">
        <w:rPr>
          <w:color w:val="auto"/>
          <w:sz w:val="22"/>
          <w:szCs w:val="22"/>
        </w:rPr>
        <w:t xml:space="preserve">enefit for creating of developable land would be </w:t>
      </w:r>
      <w:r w:rsidR="00AD3798">
        <w:rPr>
          <w:color w:val="auto"/>
          <w:sz w:val="22"/>
          <w:szCs w:val="22"/>
        </w:rPr>
        <w:t>more than $111.5 million</w:t>
      </w:r>
      <w:r w:rsidR="006B552C">
        <w:rPr>
          <w:color w:val="auto"/>
          <w:sz w:val="22"/>
          <w:szCs w:val="22"/>
        </w:rPr>
        <w:t xml:space="preserve"> for this project.</w:t>
      </w:r>
      <w:r w:rsidR="00AD3798">
        <w:rPr>
          <w:color w:val="auto"/>
          <w:sz w:val="22"/>
          <w:szCs w:val="22"/>
        </w:rPr>
        <w:t xml:space="preserve"> This number is calculated by multiplying the 128 total acres of new developable land proposed to be created by this project and the estimated average per acre value of $871,200.</w:t>
      </w:r>
    </w:p>
    <w:sectPr w:rsidR="00A80B38" w:rsidRPr="00AD3798" w:rsidSect="004D62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441F"/>
    <w:rsid w:val="00004A6B"/>
    <w:rsid w:val="00005267"/>
    <w:rsid w:val="001B77EA"/>
    <w:rsid w:val="001E6B73"/>
    <w:rsid w:val="0039630C"/>
    <w:rsid w:val="003C70E3"/>
    <w:rsid w:val="0041394B"/>
    <w:rsid w:val="004D628E"/>
    <w:rsid w:val="00574BB5"/>
    <w:rsid w:val="006103E2"/>
    <w:rsid w:val="00614C1A"/>
    <w:rsid w:val="00641BC2"/>
    <w:rsid w:val="00691482"/>
    <w:rsid w:val="006B552C"/>
    <w:rsid w:val="00737B55"/>
    <w:rsid w:val="00783E83"/>
    <w:rsid w:val="00902422"/>
    <w:rsid w:val="0099333E"/>
    <w:rsid w:val="00A610EB"/>
    <w:rsid w:val="00A80B38"/>
    <w:rsid w:val="00AD3798"/>
    <w:rsid w:val="00BF3E64"/>
    <w:rsid w:val="00C2083D"/>
    <w:rsid w:val="00DB642C"/>
    <w:rsid w:val="00DE2FB6"/>
    <w:rsid w:val="00EA0775"/>
    <w:rsid w:val="00EC1F3C"/>
    <w:rsid w:val="00FA441F"/>
    <w:rsid w:val="00FB7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2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A44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17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64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A44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17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64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4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cad.org/default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Parsons Brinckerhoff</Company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Wallace</dc:creator>
  <cp:lastModifiedBy>waskowiakpd</cp:lastModifiedBy>
  <cp:revision>2</cp:revision>
  <cp:lastPrinted>2014-12-29T19:20:00Z</cp:lastPrinted>
  <dcterms:created xsi:type="dcterms:W3CDTF">2015-01-12T20:44:00Z</dcterms:created>
  <dcterms:modified xsi:type="dcterms:W3CDTF">2015-01-12T20:44:00Z</dcterms:modified>
</cp:coreProperties>
</file>