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75" w:rsidRDefault="00796C69">
      <w:r>
        <w:rPr>
          <w:b/>
        </w:rPr>
        <w:t xml:space="preserve">ADT – Average Daily </w:t>
      </w:r>
      <w:r w:rsidRPr="00796C69">
        <w:rPr>
          <w:b/>
        </w:rPr>
        <w:t>Traffic Volume</w:t>
      </w:r>
      <w:r>
        <w:t>:</w:t>
      </w:r>
    </w:p>
    <w:p w:rsidR="00796C69" w:rsidRDefault="00796C69">
      <w:r>
        <w:t>Traffic data for 2018 was obtained using data from the magnetometers installed in some intersections within the City of Sugar Land.</w:t>
      </w:r>
    </w:p>
    <w:p w:rsidR="00B01928" w:rsidRDefault="00796C69">
      <w:r>
        <w:t xml:space="preserve">In order to identify the 24h traffic volume for the Williams Trace Blvd roadway, we observed the up and downstream volume for </w:t>
      </w:r>
      <w:r w:rsidR="00B01928">
        <w:t>four (4)</w:t>
      </w:r>
      <w:r>
        <w:t xml:space="preserve"> intersections: </w:t>
      </w:r>
    </w:p>
    <w:p w:rsidR="00B01928" w:rsidRDefault="00B01928" w:rsidP="00B01928">
      <w:pPr>
        <w:pStyle w:val="ListParagraph"/>
        <w:numPr>
          <w:ilvl w:val="0"/>
          <w:numId w:val="4"/>
        </w:numPr>
      </w:pPr>
      <w:r w:rsidRPr="00B01928">
        <w:t>Sweetwater @ Alcorn Oaks</w:t>
      </w:r>
      <w:r w:rsidR="00796C69">
        <w:t xml:space="preserve">; </w:t>
      </w:r>
    </w:p>
    <w:p w:rsidR="00B01928" w:rsidRDefault="00B01928" w:rsidP="00B01928">
      <w:pPr>
        <w:pStyle w:val="ListParagraph"/>
        <w:numPr>
          <w:ilvl w:val="0"/>
          <w:numId w:val="4"/>
        </w:numPr>
      </w:pPr>
      <w:r w:rsidRPr="00B01928">
        <w:t>Sweetwater @ Elkins</w:t>
      </w:r>
      <w:r>
        <w:t>;</w:t>
      </w:r>
    </w:p>
    <w:p w:rsidR="00B01928" w:rsidRDefault="00B01928" w:rsidP="00B01928">
      <w:pPr>
        <w:pStyle w:val="ListParagraph"/>
        <w:numPr>
          <w:ilvl w:val="0"/>
          <w:numId w:val="4"/>
        </w:numPr>
      </w:pPr>
      <w:r w:rsidRPr="00B01928">
        <w:t>Sweetwater @ Lexington</w:t>
      </w:r>
      <w:r>
        <w:t xml:space="preserve">; and </w:t>
      </w:r>
    </w:p>
    <w:p w:rsidR="00796C69" w:rsidRDefault="00B01928" w:rsidP="00B01928">
      <w:pPr>
        <w:pStyle w:val="ListParagraph"/>
        <w:numPr>
          <w:ilvl w:val="0"/>
          <w:numId w:val="4"/>
        </w:numPr>
      </w:pPr>
      <w:r w:rsidRPr="00B01928">
        <w:t>Sweetwater @ Town Center</w:t>
      </w:r>
      <w:r w:rsidR="00796C69">
        <w:t>.</w:t>
      </w:r>
    </w:p>
    <w:p w:rsidR="00796C69" w:rsidRDefault="00796C69">
      <w:r>
        <w:t>In order to identify the most up-to-date 2018 volume data for a typical weekday, we averaged the values from October 22 (Mon) through October 26 (Fri).</w:t>
      </w:r>
    </w:p>
    <w:p w:rsidR="00796C69" w:rsidRDefault="00796C69">
      <w:r>
        <w:t xml:space="preserve">We then chose to use the highest Weekday Average ADT since this would represent the heaviest segment within the roadway of interest. Therefore, we </w:t>
      </w:r>
      <w:r w:rsidR="00343513">
        <w:t>identified</w:t>
      </w:r>
      <w:r>
        <w:t xml:space="preserve"> the Average Weekday </w:t>
      </w:r>
      <w:r w:rsidR="00343513">
        <w:t xml:space="preserve">2018 </w:t>
      </w:r>
      <w:r>
        <w:t xml:space="preserve">ADT </w:t>
      </w:r>
      <w:r w:rsidR="00B01928">
        <w:t>as 33,566</w:t>
      </w:r>
      <w:r w:rsidR="00343513">
        <w:t xml:space="preserve"> vehicles - </w:t>
      </w:r>
      <w:r>
        <w:t xml:space="preserve"> </w:t>
      </w:r>
      <w:r w:rsidR="00343513">
        <w:t xml:space="preserve">based on </w:t>
      </w:r>
      <w:r w:rsidR="00B01928">
        <w:t>Sweetwater @ Town Center</w:t>
      </w:r>
      <w:r w:rsidR="00343513">
        <w:t xml:space="preserve"> volumes</w:t>
      </w:r>
      <w:r>
        <w:t>, as can be seen in the table below:</w:t>
      </w:r>
    </w:p>
    <w:p w:rsidR="00796C69" w:rsidRDefault="00B01928">
      <w:r w:rsidRPr="00B01928">
        <w:rPr>
          <w:noProof/>
        </w:rPr>
        <w:drawing>
          <wp:inline distT="0" distB="0" distL="0" distR="0">
            <wp:extent cx="5943600" cy="102748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513" w:rsidRDefault="00343513" w:rsidP="00343513">
      <w:pPr>
        <w:pStyle w:val="ListParagraph"/>
        <w:ind w:left="360"/>
        <w:rPr>
          <w:b/>
        </w:rPr>
      </w:pPr>
    </w:p>
    <w:p w:rsidR="00343513" w:rsidRPr="00343513" w:rsidRDefault="00B01928" w:rsidP="0034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</w:rPr>
      </w:pPr>
      <w:r>
        <w:rPr>
          <w:b/>
          <w:sz w:val="24"/>
        </w:rPr>
        <w:t>2018 24h ADT = 3</w:t>
      </w:r>
      <w:r w:rsidR="00343513" w:rsidRPr="00343513">
        <w:rPr>
          <w:b/>
          <w:sz w:val="24"/>
        </w:rPr>
        <w:t>3,</w:t>
      </w:r>
      <w:r>
        <w:rPr>
          <w:b/>
          <w:sz w:val="24"/>
        </w:rPr>
        <w:t>566</w:t>
      </w:r>
      <w:r w:rsidR="00343513" w:rsidRPr="00343513">
        <w:rPr>
          <w:b/>
          <w:sz w:val="24"/>
        </w:rPr>
        <w:t xml:space="preserve"> vehicles</w:t>
      </w:r>
      <w:r w:rsidR="008B5531">
        <w:rPr>
          <w:b/>
          <w:sz w:val="24"/>
        </w:rPr>
        <w:t xml:space="preserve"> </w:t>
      </w:r>
      <w:r w:rsidR="008B5531" w:rsidRPr="008B5531">
        <w:rPr>
          <w:i/>
          <w:sz w:val="24"/>
        </w:rPr>
        <w:t>[based on accurate magnetometer data]</w:t>
      </w:r>
    </w:p>
    <w:p w:rsidR="00343513" w:rsidRPr="00343513" w:rsidRDefault="00343513" w:rsidP="00343513">
      <w:pPr>
        <w:pStyle w:val="ListParagraph"/>
        <w:ind w:left="360"/>
        <w:rPr>
          <w:b/>
        </w:rPr>
      </w:pPr>
    </w:p>
    <w:p w:rsidR="00796C69" w:rsidRDefault="00796C69">
      <w:r>
        <w:t xml:space="preserve">The actual 24h volume reports </w:t>
      </w:r>
      <w:r w:rsidR="000954E1">
        <w:t>are</w:t>
      </w:r>
      <w:r>
        <w:t xml:space="preserve"> attached</w:t>
      </w:r>
      <w:r w:rsidR="000954E1">
        <w:t>, highlighting the volumes considered in the analysis</w:t>
      </w:r>
      <w:r>
        <w:t xml:space="preserve">. </w:t>
      </w:r>
    </w:p>
    <w:p w:rsidR="008B5531" w:rsidRDefault="008B5531" w:rsidP="008B5531">
      <w:r>
        <w:t>For simplification purpose, the “2018 Peak Period Volume” was calculated based on the H-GAC model’s proportion related to the “2018 24h Volume”</w:t>
      </w:r>
      <w:r w:rsidR="002A0EB1">
        <w:t xml:space="preserve"> – roughly 50%.</w:t>
      </w:r>
    </w:p>
    <w:p w:rsidR="00796C69" w:rsidRDefault="00796C69"/>
    <w:p w:rsidR="009C45E5" w:rsidRDefault="009C45E5">
      <w:pPr>
        <w:rPr>
          <w:b/>
        </w:rPr>
      </w:pPr>
      <w:r w:rsidRPr="009C45E5">
        <w:rPr>
          <w:b/>
        </w:rPr>
        <w:t>Estimated Traffic Volume for 2025 and 2045</w:t>
      </w:r>
    </w:p>
    <w:p w:rsidR="00486F93" w:rsidRDefault="009C45E5">
      <w:r>
        <w:t xml:space="preserve">Unfortunately, the data forecasted by the H-GAC travel demand model actually shows a decrease in the amount of traffic along this roadway, for both 2025 and 2045. Hence, we did not have a “reasonable” number to </w:t>
      </w:r>
      <w:r w:rsidR="00486F93">
        <w:t>back-calculate and adjust the traffic volume for those years.</w:t>
      </w:r>
    </w:p>
    <w:p w:rsidR="00031DBA" w:rsidRDefault="009C45E5">
      <w:r>
        <w:t xml:space="preserve">In order to deal with this limitation, we considered the average yearly growth of the other </w:t>
      </w:r>
      <w:r w:rsidR="00486F93">
        <w:t xml:space="preserve">nearby </w:t>
      </w:r>
      <w:r>
        <w:t xml:space="preserve">locations </w:t>
      </w:r>
      <w:r w:rsidR="00486F93">
        <w:t>that – according to the H-GAC model - presented an increased traffic volume for future years</w:t>
      </w:r>
      <w:r>
        <w:t xml:space="preserve">. </w:t>
      </w:r>
    </w:p>
    <w:p w:rsidR="00031DBA" w:rsidRDefault="00031DBA">
      <w:r>
        <w:t>The yearly growth rate for future years was calculated according to</w:t>
      </w:r>
      <w:r w:rsidR="00496678">
        <w:t xml:space="preserve"> </w:t>
      </w:r>
      <w:r>
        <w:t>Equation</w:t>
      </w:r>
      <w:r w:rsidR="00496678">
        <w:t xml:space="preserve"> 1</w:t>
      </w:r>
      <w:r>
        <w:t>:</w:t>
      </w:r>
    </w:p>
    <w:p w:rsidR="00031DBA" w:rsidRDefault="00031DBA">
      <m:oMathPara>
        <m:oMath>
          <m:r>
            <w:rPr>
              <w:rFonts w:ascii="Cambria Math" w:hAnsi="Cambria Math"/>
            </w:rPr>
            <w:lastRenderedPageBreak/>
            <m:t xml:space="preserve">i=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Volum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fYear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Volum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2018</m:t>
                          </m:r>
                        </m:sub>
                      </m:sSub>
                    </m:den>
                  </m:f>
                </m:e>
              </m:d>
            </m:e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sup>
          </m:sSup>
        </m:oMath>
      </m:oMathPara>
    </w:p>
    <w:p w:rsidR="00496678" w:rsidRDefault="004966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5434330</wp:posOffset>
                </wp:positionH>
                <wp:positionV relativeFrom="paragraph">
                  <wp:posOffset>-390261</wp:posOffset>
                </wp:positionV>
                <wp:extent cx="353683" cy="336430"/>
                <wp:effectExtent l="0" t="0" r="889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6678" w:rsidRDefault="00496678">
                            <w: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7.9pt;margin-top:-30.75pt;width:27.8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" fillcolor="white [3201]" stroked="f" strokeweight=".5pt">
                <v:textbox>
                  <w:txbxContent>
                    <w:p w:rsidR="00496678" w:rsidRDefault="00496678">
                      <w: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031DBA" w:rsidRDefault="004966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94D42" wp14:editId="2055AB5B">
                <wp:simplePos x="0" y="0"/>
                <wp:positionH relativeFrom="column">
                  <wp:posOffset>5434330</wp:posOffset>
                </wp:positionH>
                <wp:positionV relativeFrom="paragraph">
                  <wp:posOffset>264687</wp:posOffset>
                </wp:positionV>
                <wp:extent cx="353683" cy="336430"/>
                <wp:effectExtent l="0" t="0" r="889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6678" w:rsidRDefault="00496678">
                            <w: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94D42" id="Text Box 4" o:spid="_x0000_s1027" type="#_x0000_t202" style="position:absolute;margin-left:427.9pt;margin-top:20.85pt;width:27.85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" fillcolor="white [3201]" stroked="f" strokeweight=".5pt">
                <v:textbox>
                  <w:txbxContent>
                    <w:p w:rsidR="00496678" w:rsidRDefault="00496678">
                      <w: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031DBA">
        <w:t>Whereas the “corrected” volume for future years was calculated using Equation</w:t>
      </w:r>
      <w:r>
        <w:t xml:space="preserve"> 2</w:t>
      </w:r>
      <w:r w:rsidR="00031DBA">
        <w:t>:</w:t>
      </w:r>
    </w:p>
    <w:p w:rsidR="00301205" w:rsidRPr="00301205" w:rsidRDefault="0030120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Volum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fYear</m:t>
              </m:r>
            </m:sub>
          </m:sSub>
          <m:r>
            <w:rPr>
              <w:rFonts w:ascii="Cambria Math" w:hAnsi="Cambria Math"/>
            </w:rPr>
            <m:t>=Volum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2018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:rsidR="00301205" w:rsidRDefault="00496678">
      <w:pPr>
        <w:rPr>
          <w:rFonts w:eastAsiaTheme="minorEastAsia"/>
        </w:rPr>
      </w:pPr>
      <w:r>
        <w:rPr>
          <w:rFonts w:eastAsiaTheme="minorEastAsia"/>
        </w:rPr>
        <w:t>Where</w:t>
      </w:r>
      <w:r w:rsidR="00301205">
        <w:rPr>
          <w:rFonts w:eastAsiaTheme="minorEastAsia"/>
        </w:rPr>
        <w:t>:</w:t>
      </w:r>
    </w:p>
    <w:p w:rsidR="00301205" w:rsidRDefault="00301205" w:rsidP="00031DBA">
      <w:pPr>
        <w:spacing w:after="0"/>
      </w:pPr>
      <w:r>
        <w:t xml:space="preserve">Volume </w:t>
      </w:r>
      <w:proofErr w:type="spellStart"/>
      <w:r>
        <w:rPr>
          <w:vertAlign w:val="subscript"/>
        </w:rPr>
        <w:t>fYear</w:t>
      </w:r>
      <w:proofErr w:type="spellEnd"/>
      <w:r w:rsidR="002600CE">
        <w:t xml:space="preserve"> = Volume in future year</w:t>
      </w:r>
    </w:p>
    <w:p w:rsidR="00301205" w:rsidRDefault="00301205" w:rsidP="00031DBA">
      <w:pPr>
        <w:spacing w:after="0"/>
      </w:pPr>
      <w:r>
        <w:t xml:space="preserve">Volume </w:t>
      </w:r>
      <w:r>
        <w:rPr>
          <w:vertAlign w:val="subscript"/>
        </w:rPr>
        <w:t>2018</w:t>
      </w:r>
      <w:r>
        <w:t xml:space="preserve"> = Volume for 2018</w:t>
      </w:r>
    </w:p>
    <w:p w:rsidR="00301205" w:rsidRDefault="00031DBA" w:rsidP="00031DBA">
      <w:pPr>
        <w:spacing w:after="0"/>
      </w:pPr>
      <w:r>
        <w:rPr>
          <w:i/>
        </w:rPr>
        <w:t>i</w:t>
      </w:r>
      <w:r>
        <w:t xml:space="preserve"> = yearly growth rate</w:t>
      </w:r>
    </w:p>
    <w:p w:rsidR="00031DBA" w:rsidRDefault="00031DBA" w:rsidP="00031DBA">
      <w:pPr>
        <w:spacing w:after="0"/>
      </w:pPr>
      <w:r>
        <w:rPr>
          <w:i/>
        </w:rPr>
        <w:t xml:space="preserve">t </w:t>
      </w:r>
      <w:r w:rsidRPr="00031DBA">
        <w:t xml:space="preserve">= </w:t>
      </w:r>
      <w:r>
        <w:t xml:space="preserve">difference between future and present, in years </w:t>
      </w:r>
    </w:p>
    <w:p w:rsidR="00031DBA" w:rsidRDefault="00031DBA" w:rsidP="00031DBA">
      <w:pPr>
        <w:spacing w:after="0"/>
      </w:pPr>
    </w:p>
    <w:p w:rsidR="00031DBA" w:rsidRDefault="00D52EF2" w:rsidP="00031DBA">
      <w:pPr>
        <w:spacing w:after="0"/>
      </w:pPr>
      <w:r>
        <w:t>As can be seen in the Table below</w:t>
      </w:r>
      <w:r w:rsidR="00031DBA">
        <w:t>, the average yearly growth considered was 0.4%</w:t>
      </w:r>
      <w:r>
        <w:t xml:space="preserve">, </w:t>
      </w:r>
      <w:r w:rsidR="00031DBA">
        <w:t>for both 2025 and 2045</w:t>
      </w:r>
      <w:r>
        <w:t>:</w:t>
      </w:r>
    </w:p>
    <w:p w:rsidR="002600CE" w:rsidRDefault="002600CE" w:rsidP="002600CE">
      <w:pPr>
        <w:spacing w:after="0"/>
        <w:ind w:left="-810"/>
      </w:pPr>
      <w:r w:rsidRPr="002600CE">
        <w:rPr>
          <w:noProof/>
        </w:rPr>
        <w:drawing>
          <wp:inline distT="0" distB="0" distL="0" distR="0">
            <wp:extent cx="6987396" cy="2894737"/>
            <wp:effectExtent l="0" t="0" r="444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969" cy="290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0CE" w:rsidRDefault="002600CE" w:rsidP="00031DBA">
      <w:pPr>
        <w:spacing w:after="0"/>
      </w:pPr>
    </w:p>
    <w:p w:rsidR="00031DBA" w:rsidRPr="00031DBA" w:rsidRDefault="00D52EF2" w:rsidP="00D52EF2">
      <w:pPr>
        <w:spacing w:after="0"/>
      </w:pPr>
      <w:r>
        <w:t>The “corrected” volume for future years are shown below, highlighted in yellow:</w:t>
      </w:r>
    </w:p>
    <w:p w:rsidR="00031DBA" w:rsidRDefault="00D33B8B" w:rsidP="00D52EF2">
      <w:pPr>
        <w:ind w:left="-900"/>
      </w:pPr>
      <w:r w:rsidRPr="00D33B8B">
        <w:drawing>
          <wp:inline distT="0" distB="0" distL="0" distR="0">
            <wp:extent cx="7054977" cy="165627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66" cy="16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1DBA" w:rsidRDefault="00031DBA" w:rsidP="00031DBA"/>
    <w:p w:rsidR="009C45E5" w:rsidRPr="00031DBA" w:rsidRDefault="00031DBA" w:rsidP="00031DBA">
      <w:r>
        <w:lastRenderedPageBreak/>
        <w:t>The spreadsheet containing all formulas and calculations is also submitted with this application, called “P5_P10 – City of Sugar Land – Input Data for BCA”.</w:t>
      </w:r>
    </w:p>
    <w:sectPr w:rsidR="009C45E5" w:rsidRPr="00031DB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F2" w:rsidRDefault="00D52EF2" w:rsidP="00D52EF2">
      <w:pPr>
        <w:spacing w:after="0" w:line="240" w:lineRule="auto"/>
      </w:pPr>
      <w:r>
        <w:separator/>
      </w:r>
    </w:p>
  </w:endnote>
  <w:endnote w:type="continuationSeparator" w:id="0">
    <w:p w:rsidR="00D52EF2" w:rsidRDefault="00D52EF2" w:rsidP="00D5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F2" w:rsidRDefault="00D52EF2" w:rsidP="00D52EF2">
      <w:pPr>
        <w:spacing w:after="0" w:line="240" w:lineRule="auto"/>
      </w:pPr>
      <w:r>
        <w:separator/>
      </w:r>
    </w:p>
  </w:footnote>
  <w:footnote w:type="continuationSeparator" w:id="0">
    <w:p w:rsidR="00D52EF2" w:rsidRDefault="00D52EF2" w:rsidP="00D5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F2" w:rsidRDefault="00D52EF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52EF2" w:rsidRPr="00D52EF2" w:rsidRDefault="00D33B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52EF2" w:rsidRPr="00D52EF2" w:rsidRDefault="00D33B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F95"/>
    <w:multiLevelType w:val="hybridMultilevel"/>
    <w:tmpl w:val="628CF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C18"/>
    <w:multiLevelType w:val="hybridMultilevel"/>
    <w:tmpl w:val="3B8259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4E0"/>
    <w:multiLevelType w:val="hybridMultilevel"/>
    <w:tmpl w:val="054C83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E2001"/>
    <w:multiLevelType w:val="hybridMultilevel"/>
    <w:tmpl w:val="E6D4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xNDY2MbI0tLQwNDNV0lEKTi0uzszPAykwqwUAnBZ+RCwAAAA="/>
  </w:docVars>
  <w:rsids>
    <w:rsidRoot w:val="00CC5DDA"/>
    <w:rsid w:val="00031DBA"/>
    <w:rsid w:val="000954E1"/>
    <w:rsid w:val="002600CE"/>
    <w:rsid w:val="002A0EB1"/>
    <w:rsid w:val="00301205"/>
    <w:rsid w:val="00343513"/>
    <w:rsid w:val="004560D2"/>
    <w:rsid w:val="00486F93"/>
    <w:rsid w:val="00496678"/>
    <w:rsid w:val="00796C69"/>
    <w:rsid w:val="008B5531"/>
    <w:rsid w:val="009C45E5"/>
    <w:rsid w:val="00B01928"/>
    <w:rsid w:val="00CC5DDA"/>
    <w:rsid w:val="00D33B8B"/>
    <w:rsid w:val="00D52EF2"/>
    <w:rsid w:val="00E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1C6A4A8-FE2B-4A25-81DD-DF9A4F1F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5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12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2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EF2"/>
  </w:style>
  <w:style w:type="paragraph" w:styleId="Footer">
    <w:name w:val="footer"/>
    <w:basedOn w:val="Normal"/>
    <w:link w:val="FooterChar"/>
    <w:uiPriority w:val="99"/>
    <w:unhideWhenUsed/>
    <w:rsid w:val="00D52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Sugar Land Texas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Victorino</dc:creator>
  <cp:keywords/>
  <dc:description/>
  <cp:lastModifiedBy>Marcello Victorino</cp:lastModifiedBy>
  <cp:revision>12</cp:revision>
  <dcterms:created xsi:type="dcterms:W3CDTF">2018-10-30T22:49:00Z</dcterms:created>
  <dcterms:modified xsi:type="dcterms:W3CDTF">2018-10-31T15:26:00Z</dcterms:modified>
</cp:coreProperties>
</file>