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00" w:rsidRDefault="00790400" w:rsidP="00790400">
      <w:pPr>
        <w:spacing w:after="60" w:line="240" w:lineRule="auto"/>
        <w:jc w:val="center"/>
        <w:outlineLvl w:val="2"/>
        <w:rPr>
          <w:b/>
          <w:bCs/>
        </w:rPr>
      </w:pPr>
      <w:r>
        <w:rPr>
          <w:b/>
          <w:bCs/>
        </w:rPr>
        <w:t xml:space="preserve">Sample Policy to Limit Diesel Engine </w:t>
      </w:r>
      <w:r w:rsidR="00377A27" w:rsidRPr="00AE086E">
        <w:rPr>
          <w:b/>
          <w:bCs/>
        </w:rPr>
        <w:t xml:space="preserve">Idling </w:t>
      </w:r>
      <w:r>
        <w:rPr>
          <w:b/>
          <w:bCs/>
        </w:rPr>
        <w:t>and Emissions</w:t>
      </w:r>
    </w:p>
    <w:p w:rsidR="00A57AC8" w:rsidRDefault="00A57AC8" w:rsidP="00790400">
      <w:pPr>
        <w:spacing w:after="60" w:line="240" w:lineRule="auto"/>
        <w:jc w:val="center"/>
        <w:outlineLvl w:val="2"/>
        <w:rPr>
          <w:b/>
          <w:bCs/>
        </w:rPr>
      </w:pPr>
      <w:r w:rsidRPr="00AE086E">
        <w:rPr>
          <w:b/>
          <w:bCs/>
        </w:rPr>
        <w:t>Houston-Galveston-Brazoria Area</w:t>
      </w:r>
    </w:p>
    <w:p w:rsidR="00C06984" w:rsidRPr="00AE086E" w:rsidRDefault="00C06984" w:rsidP="00790400">
      <w:pPr>
        <w:spacing w:after="60" w:line="240" w:lineRule="auto"/>
        <w:jc w:val="center"/>
        <w:outlineLvl w:val="2"/>
        <w:rPr>
          <w:b/>
          <w:bCs/>
        </w:rPr>
      </w:pPr>
      <w:r>
        <w:rPr>
          <w:b/>
          <w:bCs/>
        </w:rPr>
        <w:t>EngineOffH-GAC.com</w:t>
      </w:r>
    </w:p>
    <w:p w:rsidR="0010454F" w:rsidRDefault="0010454F" w:rsidP="00790400">
      <w:pPr>
        <w:spacing w:after="60" w:line="240" w:lineRule="auto"/>
        <w:jc w:val="center"/>
        <w:outlineLvl w:val="2"/>
        <w:rPr>
          <w:b/>
          <w:bCs/>
        </w:rPr>
      </w:pPr>
    </w:p>
    <w:p w:rsidR="00C951C4" w:rsidRPr="00D27596" w:rsidRDefault="0010454F" w:rsidP="00790400">
      <w:pPr>
        <w:spacing w:after="60" w:line="240" w:lineRule="auto"/>
        <w:outlineLvl w:val="2"/>
        <w:rPr>
          <w:bCs/>
        </w:rPr>
      </w:pPr>
      <w:r w:rsidRPr="00AE086E">
        <w:rPr>
          <w:b/>
          <w:bCs/>
        </w:rPr>
        <w:t>Company Name</w:t>
      </w:r>
      <w:r w:rsidRPr="00AE086E">
        <w:rPr>
          <w:b/>
          <w:bCs/>
        </w:rPr>
        <w:tab/>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A6088A" w:rsidRPr="00D27596">
        <w:rPr>
          <w:bCs/>
          <w:u w:val="single"/>
        </w:rPr>
        <w:fldChar w:fldCharType="begin">
          <w:ffData>
            <w:name w:val="Text1"/>
            <w:enabled/>
            <w:calcOnExit w:val="0"/>
            <w:textInput>
              <w:maxLength w:val="50"/>
            </w:textInput>
          </w:ffData>
        </w:fldChar>
      </w:r>
      <w:bookmarkStart w:id="0" w:name="Text1"/>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bookmarkEnd w:id="0"/>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C06984" w:rsidRPr="00D27596">
        <w:rPr>
          <w:bCs/>
          <w:noProof/>
          <w:u w:val="single"/>
        </w:rPr>
        <w:t> </w:t>
      </w:r>
      <w:r w:rsidR="00A6088A" w:rsidRPr="00D27596">
        <w:rPr>
          <w:bCs/>
          <w:u w:val="single"/>
        </w:rPr>
        <w:fldChar w:fldCharType="end"/>
      </w:r>
      <w:r w:rsidR="00C06984" w:rsidRPr="00D27596">
        <w:rPr>
          <w:bCs/>
        </w:rPr>
        <w:tab/>
      </w:r>
    </w:p>
    <w:p w:rsidR="00C06984" w:rsidRPr="00D27596" w:rsidRDefault="00C06984" w:rsidP="00790400">
      <w:pPr>
        <w:spacing w:after="60" w:line="240" w:lineRule="auto"/>
        <w:outlineLvl w:val="2"/>
        <w:rPr>
          <w:bCs/>
        </w:rPr>
      </w:pPr>
    </w:p>
    <w:p w:rsidR="0095152D" w:rsidRDefault="00C06984" w:rsidP="00790400">
      <w:pPr>
        <w:spacing w:after="60" w:line="240" w:lineRule="auto"/>
        <w:outlineLvl w:val="2"/>
        <w:rPr>
          <w:b/>
          <w:bCs/>
        </w:rPr>
      </w:pPr>
      <w:r w:rsidRPr="00D27596">
        <w:rPr>
          <w:b/>
          <w:bCs/>
        </w:rPr>
        <w:t>Company Address</w:t>
      </w:r>
      <w:r w:rsidR="0095152D">
        <w:rPr>
          <w:b/>
          <w:bCs/>
        </w:rPr>
        <w:tab/>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noProof/>
          <w:u w:val="single"/>
        </w:rPr>
        <w:t> </w:t>
      </w:r>
      <w:r w:rsidR="0095152D" w:rsidRPr="00D27596">
        <w:rPr>
          <w:bCs/>
          <w:u w:val="single"/>
        </w:rPr>
        <w:fldChar w:fldCharType="end"/>
      </w:r>
    </w:p>
    <w:p w:rsidR="00C06984" w:rsidRPr="00D27596" w:rsidRDefault="0095152D" w:rsidP="0095152D">
      <w:pPr>
        <w:spacing w:after="60" w:line="240" w:lineRule="auto"/>
        <w:outlineLvl w:val="2"/>
        <w:rPr>
          <w:bCs/>
        </w:rPr>
      </w:pPr>
      <w:r>
        <w:rPr>
          <w:b/>
          <w:bCs/>
        </w:rPr>
        <w:t xml:space="preserve">City / State/ Zip </w:t>
      </w:r>
      <w:r w:rsidR="00C06984" w:rsidRPr="00D27596">
        <w:rPr>
          <w:bCs/>
        </w:rPr>
        <w:tab/>
      </w:r>
      <w:r w:rsidR="00A6088A" w:rsidRPr="00D27596">
        <w:rPr>
          <w:bCs/>
          <w:u w:val="single"/>
        </w:rPr>
        <w:fldChar w:fldCharType="begin">
          <w:ffData>
            <w:name w:val=""/>
            <w:enabled/>
            <w:calcOnExit w:val="0"/>
            <w:textInput>
              <w:maxLength w:val="50"/>
            </w:textInput>
          </w:ffData>
        </w:fldChar>
      </w:r>
      <w:r w:rsidR="00C06984" w:rsidRPr="00D27596">
        <w:rPr>
          <w:bCs/>
          <w:u w:val="single"/>
        </w:rPr>
        <w:instrText xml:space="preserve"> FORMTEXT </w:instrText>
      </w:r>
      <w:r w:rsidRPr="00D27596">
        <w:rPr>
          <w:bCs/>
          <w:u w:val="single"/>
        </w:rPr>
      </w:r>
      <w:r w:rsidR="00A6088A" w:rsidRPr="00D27596">
        <w:rPr>
          <w:bCs/>
          <w:u w:val="single"/>
        </w:rPr>
        <w:fldChar w:fldCharType="separate"/>
      </w:r>
      <w:r w:rsidR="00C06984" w:rsidRPr="00D27596">
        <w:rPr>
          <w:bCs/>
          <w:u w:val="single"/>
        </w:rPr>
        <w:t> </w:t>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C06984" w:rsidRPr="00D27596">
        <w:rPr>
          <w:bCs/>
        </w:rPr>
        <w:tab/>
        <w:t xml:space="preserve">     </w:t>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C06984" w:rsidRPr="00D27596">
        <w:rPr>
          <w:bCs/>
        </w:rPr>
        <w:tab/>
        <w:t xml:space="preserve">        </w:t>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p>
    <w:p w:rsidR="00C06984" w:rsidRPr="00D27596" w:rsidRDefault="0095152D" w:rsidP="00790400">
      <w:pPr>
        <w:spacing w:after="60" w:line="240" w:lineRule="auto"/>
        <w:outlineLvl w:val="2"/>
        <w:rPr>
          <w:bCs/>
        </w:rPr>
      </w:pPr>
      <w:r>
        <w:rPr>
          <w:bCs/>
        </w:rPr>
        <w:tab/>
      </w:r>
      <w:r>
        <w:rPr>
          <w:bCs/>
        </w:rPr>
        <w:tab/>
      </w:r>
      <w:r>
        <w:rPr>
          <w:bCs/>
        </w:rPr>
        <w:tab/>
      </w:r>
    </w:p>
    <w:p w:rsidR="0095152D" w:rsidRDefault="00C06984" w:rsidP="00790400">
      <w:pPr>
        <w:spacing w:after="60" w:line="240" w:lineRule="auto"/>
        <w:outlineLvl w:val="2"/>
        <w:rPr>
          <w:b/>
          <w:bCs/>
        </w:rPr>
      </w:pPr>
      <w:r w:rsidRPr="00D27596">
        <w:rPr>
          <w:b/>
          <w:bCs/>
        </w:rPr>
        <w:t>Name</w:t>
      </w:r>
      <w:r w:rsidR="0095152D">
        <w:rPr>
          <w:b/>
          <w:bCs/>
        </w:rPr>
        <w:t xml:space="preserve"> /</w:t>
      </w:r>
      <w:r w:rsidR="0095152D" w:rsidRPr="0095152D">
        <w:rPr>
          <w:b/>
          <w:bCs/>
        </w:rPr>
        <w:t xml:space="preserve"> </w:t>
      </w:r>
      <w:r w:rsidR="0095152D">
        <w:rPr>
          <w:b/>
          <w:bCs/>
        </w:rPr>
        <w:t>Title</w:t>
      </w:r>
      <w:r w:rsidR="0095152D">
        <w:rPr>
          <w:b/>
          <w:bCs/>
        </w:rPr>
        <w:tab/>
      </w:r>
      <w:r w:rsidR="0095152D">
        <w:rPr>
          <w:b/>
          <w:bCs/>
        </w:rPr>
        <w:tab/>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r w:rsidR="0095152D" w:rsidRPr="00D27596">
        <w:rPr>
          <w:bCs/>
          <w:u w:val="single"/>
        </w:rPr>
        <w:fldChar w:fldCharType="begin">
          <w:ffData>
            <w:name w:val="Text1"/>
            <w:enabled/>
            <w:calcOnExit w:val="0"/>
            <w:textInput>
              <w:maxLength w:val="50"/>
            </w:textInput>
          </w:ffData>
        </w:fldChar>
      </w:r>
      <w:r w:rsidR="0095152D" w:rsidRPr="00D27596">
        <w:rPr>
          <w:bCs/>
          <w:u w:val="single"/>
        </w:rPr>
        <w:instrText xml:space="preserve"> FORMTEXT </w:instrText>
      </w:r>
      <w:r w:rsidR="0095152D" w:rsidRPr="00D27596">
        <w:rPr>
          <w:bCs/>
          <w:u w:val="single"/>
        </w:rPr>
      </w:r>
      <w:r w:rsidR="0095152D" w:rsidRPr="00D27596">
        <w:rPr>
          <w:bCs/>
          <w:u w:val="single"/>
        </w:rPr>
        <w:fldChar w:fldCharType="separate"/>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t> </w:t>
      </w:r>
      <w:r w:rsidR="0095152D" w:rsidRPr="00D27596">
        <w:rPr>
          <w:bCs/>
          <w:u w:val="single"/>
        </w:rPr>
        <w:fldChar w:fldCharType="end"/>
      </w:r>
    </w:p>
    <w:p w:rsidR="00C06984" w:rsidRPr="00D27596" w:rsidRDefault="00C06984" w:rsidP="00790400">
      <w:pPr>
        <w:spacing w:after="60" w:line="240" w:lineRule="auto"/>
        <w:outlineLvl w:val="2"/>
        <w:rPr>
          <w:bCs/>
        </w:rPr>
      </w:pPr>
    </w:p>
    <w:p w:rsidR="00C06984" w:rsidRPr="00D27596" w:rsidRDefault="00C06984" w:rsidP="00790400">
      <w:pPr>
        <w:spacing w:after="60" w:line="240" w:lineRule="auto"/>
        <w:outlineLvl w:val="2"/>
        <w:rPr>
          <w:bCs/>
        </w:rPr>
      </w:pPr>
      <w:proofErr w:type="gramStart"/>
      <w:r w:rsidRPr="00D27596">
        <w:rPr>
          <w:b/>
          <w:bCs/>
        </w:rPr>
        <w:t>Phone No.</w:t>
      </w:r>
      <w:proofErr w:type="gramEnd"/>
      <w:r w:rsidRPr="00D27596">
        <w:rPr>
          <w:b/>
          <w:bCs/>
        </w:rPr>
        <w:t xml:space="preserve"> / Email</w:t>
      </w:r>
      <w:r w:rsidRPr="00D27596">
        <w:rPr>
          <w:bCs/>
        </w:rPr>
        <w:tab/>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Pr="00D27596">
        <w:rPr>
          <w:bCs/>
        </w:rPr>
        <w:tab/>
        <w:t xml:space="preserve">  </w:t>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10454F" w:rsidRPr="00D27596">
        <w:rPr>
          <w:bCs/>
        </w:rPr>
        <w:br/>
      </w:r>
    </w:p>
    <w:p w:rsidR="00C951C4" w:rsidRPr="00D27596" w:rsidRDefault="0010454F" w:rsidP="00790400">
      <w:pPr>
        <w:spacing w:after="60" w:line="240" w:lineRule="auto"/>
        <w:outlineLvl w:val="2"/>
        <w:rPr>
          <w:bCs/>
        </w:rPr>
      </w:pPr>
      <w:r w:rsidRPr="00D27596">
        <w:rPr>
          <w:b/>
          <w:bCs/>
        </w:rPr>
        <w:t>Policy Number</w:t>
      </w:r>
      <w:r w:rsidRPr="00D27596">
        <w:rPr>
          <w:bCs/>
        </w:rPr>
        <w:tab/>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p>
    <w:p w:rsidR="0010454F" w:rsidRPr="00D27596" w:rsidRDefault="0010454F" w:rsidP="00790400">
      <w:pPr>
        <w:spacing w:after="60" w:line="240" w:lineRule="auto"/>
        <w:outlineLvl w:val="2"/>
        <w:rPr>
          <w:bCs/>
          <w:u w:val="single"/>
        </w:rPr>
      </w:pPr>
      <w:r w:rsidRPr="00D27596">
        <w:rPr>
          <w:bCs/>
        </w:rPr>
        <w:br/>
      </w:r>
      <w:r w:rsidRPr="00D27596">
        <w:rPr>
          <w:b/>
          <w:bCs/>
        </w:rPr>
        <w:t>Effective Date</w:t>
      </w:r>
      <w:r w:rsidRPr="00D27596">
        <w:rPr>
          <w:bCs/>
        </w:rPr>
        <w:t xml:space="preserve"> </w:t>
      </w:r>
      <w:r w:rsidRPr="00D27596">
        <w:rPr>
          <w:bCs/>
        </w:rPr>
        <w:tab/>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00C06984" w:rsidRPr="00D27596">
        <w:rPr>
          <w:bCs/>
          <w:u w:val="single"/>
        </w:rPr>
        <w:instrText xml:space="preserve"> FORMTEXT </w:instrText>
      </w:r>
      <w:r w:rsidR="00A6088A" w:rsidRPr="00D27596">
        <w:rPr>
          <w:bCs/>
          <w:u w:val="single"/>
        </w:rPr>
      </w:r>
      <w:r w:rsidR="00A6088A" w:rsidRPr="00D27596">
        <w:rPr>
          <w:bCs/>
          <w:u w:val="single"/>
        </w:rPr>
        <w:fldChar w:fldCharType="separate"/>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C06984" w:rsidRPr="00D27596">
        <w:rPr>
          <w:bCs/>
          <w:u w:val="single"/>
        </w:rPr>
        <w:t> </w:t>
      </w:r>
      <w:r w:rsidR="00A6088A" w:rsidRPr="00D27596">
        <w:rPr>
          <w:bCs/>
          <w:u w:val="single"/>
        </w:rPr>
        <w:fldChar w:fldCharType="end"/>
      </w:r>
    </w:p>
    <w:p w:rsidR="0019477E" w:rsidRPr="00D27596" w:rsidRDefault="0019477E" w:rsidP="00790400">
      <w:pPr>
        <w:spacing w:after="60" w:line="240" w:lineRule="auto"/>
        <w:outlineLvl w:val="2"/>
        <w:rPr>
          <w:bCs/>
          <w:u w:val="single"/>
        </w:rPr>
      </w:pPr>
    </w:p>
    <w:p w:rsidR="0019477E" w:rsidRPr="00D27596" w:rsidRDefault="0019477E" w:rsidP="00790400">
      <w:pPr>
        <w:spacing w:after="60" w:line="240" w:lineRule="auto"/>
        <w:outlineLvl w:val="2"/>
        <w:rPr>
          <w:bCs/>
          <w:u w:val="single"/>
        </w:rPr>
      </w:pPr>
      <w:r w:rsidRPr="00D27596">
        <w:rPr>
          <w:b/>
          <w:bCs/>
        </w:rPr>
        <w:t>Policy Application</w:t>
      </w:r>
      <w:r w:rsidRPr="00D27596">
        <w:rPr>
          <w:bCs/>
        </w:rPr>
        <w:tab/>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r w:rsidR="00A6088A" w:rsidRPr="00D27596">
        <w:rPr>
          <w:bCs/>
          <w:u w:val="single"/>
        </w:rPr>
        <w:fldChar w:fldCharType="begin">
          <w:ffData>
            <w:name w:val="Text1"/>
            <w:enabled/>
            <w:calcOnExit w:val="0"/>
            <w:textInput>
              <w:maxLength w:val="50"/>
            </w:textInput>
          </w:ffData>
        </w:fldChar>
      </w:r>
      <w:r w:rsidRPr="00D27596">
        <w:rPr>
          <w:bCs/>
          <w:u w:val="single"/>
        </w:rPr>
        <w:instrText xml:space="preserve"> FORMTEXT </w:instrText>
      </w:r>
      <w:r w:rsidR="00A6088A" w:rsidRPr="00D27596">
        <w:rPr>
          <w:bCs/>
          <w:u w:val="single"/>
        </w:rPr>
      </w:r>
      <w:r w:rsidR="00A6088A" w:rsidRPr="00D27596">
        <w:rPr>
          <w:bCs/>
          <w:u w:val="single"/>
        </w:rPr>
        <w:fldChar w:fldCharType="separate"/>
      </w:r>
      <w:r w:rsidRPr="00D27596">
        <w:rPr>
          <w:bCs/>
          <w:u w:val="single"/>
        </w:rPr>
        <w:t> </w:t>
      </w:r>
      <w:r w:rsidRPr="00D27596">
        <w:rPr>
          <w:bCs/>
          <w:u w:val="single"/>
        </w:rPr>
        <w:t> </w:t>
      </w:r>
      <w:r w:rsidRPr="00D27596">
        <w:rPr>
          <w:bCs/>
          <w:u w:val="single"/>
        </w:rPr>
        <w:t> </w:t>
      </w:r>
      <w:r w:rsidRPr="00D27596">
        <w:rPr>
          <w:bCs/>
          <w:u w:val="single"/>
        </w:rPr>
        <w:t> </w:t>
      </w:r>
      <w:r w:rsidRPr="00D27596">
        <w:rPr>
          <w:bCs/>
          <w:u w:val="single"/>
        </w:rPr>
        <w:t> </w:t>
      </w:r>
      <w:r w:rsidR="00A6088A" w:rsidRPr="00D27596">
        <w:rPr>
          <w:bCs/>
          <w:u w:val="single"/>
        </w:rPr>
        <w:fldChar w:fldCharType="end"/>
      </w:r>
    </w:p>
    <w:p w:rsidR="0019477E" w:rsidRPr="00D27596" w:rsidRDefault="00A6088A" w:rsidP="00790400">
      <w:pPr>
        <w:spacing w:after="60" w:line="240" w:lineRule="auto"/>
        <w:ind w:left="1440" w:firstLine="720"/>
        <w:outlineLvl w:val="2"/>
        <w:rPr>
          <w:bCs/>
        </w:rPr>
      </w:pP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r w:rsidRPr="00D27596">
        <w:rPr>
          <w:bCs/>
          <w:u w:val="single"/>
        </w:rPr>
        <w:fldChar w:fldCharType="begin">
          <w:ffData>
            <w:name w:val="Text1"/>
            <w:enabled/>
            <w:calcOnExit w:val="0"/>
            <w:textInput>
              <w:maxLength w:val="50"/>
            </w:textInput>
          </w:ffData>
        </w:fldChar>
      </w:r>
      <w:r w:rsidR="0019477E" w:rsidRPr="00D27596">
        <w:rPr>
          <w:bCs/>
          <w:u w:val="single"/>
        </w:rPr>
        <w:instrText xml:space="preserve"> FORMTEXT </w:instrText>
      </w:r>
      <w:r w:rsidRPr="00D27596">
        <w:rPr>
          <w:bCs/>
          <w:u w:val="single"/>
        </w:rPr>
      </w:r>
      <w:r w:rsidRPr="00D27596">
        <w:rPr>
          <w:bCs/>
          <w:u w:val="single"/>
        </w:rPr>
        <w:fldChar w:fldCharType="separate"/>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0019477E" w:rsidRPr="00D27596">
        <w:rPr>
          <w:bCs/>
          <w:u w:val="single"/>
        </w:rPr>
        <w:t> </w:t>
      </w:r>
      <w:r w:rsidRPr="00D27596">
        <w:rPr>
          <w:bCs/>
          <w:u w:val="single"/>
        </w:rPr>
        <w:fldChar w:fldCharType="end"/>
      </w:r>
    </w:p>
    <w:p w:rsidR="0010454F" w:rsidRDefault="0010454F" w:rsidP="00790400">
      <w:pPr>
        <w:spacing w:after="60" w:line="240" w:lineRule="auto"/>
        <w:outlineLvl w:val="2"/>
        <w:rPr>
          <w:b/>
          <w:bCs/>
        </w:rPr>
      </w:pPr>
    </w:p>
    <w:p w:rsidR="00377A27" w:rsidRPr="0095152D" w:rsidRDefault="00377A27" w:rsidP="0095152D">
      <w:pPr>
        <w:pStyle w:val="ListParagraph"/>
        <w:numPr>
          <w:ilvl w:val="0"/>
          <w:numId w:val="9"/>
        </w:numPr>
        <w:spacing w:line="240" w:lineRule="auto"/>
        <w:rPr>
          <w:b/>
          <w:bCs/>
        </w:rPr>
      </w:pPr>
      <w:r w:rsidRPr="0095152D">
        <w:rPr>
          <w:b/>
          <w:bCs/>
        </w:rPr>
        <w:t xml:space="preserve">Purpose </w:t>
      </w:r>
    </w:p>
    <w:p w:rsidR="00377A27" w:rsidRPr="00AE086E" w:rsidRDefault="00377A27" w:rsidP="00790400">
      <w:pPr>
        <w:spacing w:after="60" w:line="240" w:lineRule="auto"/>
      </w:pPr>
      <w:r w:rsidRPr="00AE086E">
        <w:t xml:space="preserve">To reduce </w:t>
      </w:r>
      <w:r w:rsidR="00842634" w:rsidRPr="00AE086E">
        <w:t>diesel</w:t>
      </w:r>
      <w:r w:rsidR="00B23FF9" w:rsidRPr="00AE086E">
        <w:t>-</w:t>
      </w:r>
      <w:r w:rsidR="00842634" w:rsidRPr="00AE086E">
        <w:t xml:space="preserve">engine </w:t>
      </w:r>
      <w:r w:rsidRPr="00AE086E">
        <w:t xml:space="preserve">idling </w:t>
      </w:r>
      <w:r w:rsidR="00842634" w:rsidRPr="00AE086E">
        <w:t>and emissions by implementing a consistent idling policy throughout t</w:t>
      </w:r>
      <w:r w:rsidRPr="00AE086E">
        <w:t xml:space="preserve">he </w:t>
      </w:r>
      <w:r w:rsidR="00842634" w:rsidRPr="00AE086E">
        <w:t xml:space="preserve">Houston-Galveston-Brazoria </w:t>
      </w:r>
      <w:r w:rsidRPr="00AE086E">
        <w:t>area</w:t>
      </w:r>
      <w:r w:rsidR="00B23FF9" w:rsidRPr="00AE086E">
        <w:t xml:space="preserve"> to balance</w:t>
      </w:r>
      <w:r w:rsidR="00842634" w:rsidRPr="00AE086E">
        <w:t xml:space="preserve"> the needs of </w:t>
      </w:r>
      <w:r w:rsidR="00344073" w:rsidRPr="00AE086E">
        <w:t xml:space="preserve">their </w:t>
      </w:r>
      <w:r w:rsidR="00842634" w:rsidRPr="00AE086E">
        <w:t>communities, not hamper economic development and ensure better quality of life</w:t>
      </w:r>
      <w:r w:rsidRPr="00AE086E">
        <w:t xml:space="preserve">.  </w:t>
      </w:r>
    </w:p>
    <w:p w:rsidR="00520AE8" w:rsidRPr="00AE086E" w:rsidRDefault="00520AE8" w:rsidP="00790400">
      <w:pPr>
        <w:pStyle w:val="ListParagraph"/>
        <w:spacing w:after="60" w:line="240" w:lineRule="auto"/>
      </w:pPr>
    </w:p>
    <w:p w:rsidR="009F0096" w:rsidRPr="00AE086E" w:rsidRDefault="009F0096" w:rsidP="00790400">
      <w:pPr>
        <w:spacing w:after="60" w:line="240" w:lineRule="auto"/>
      </w:pPr>
      <w:r w:rsidRPr="00AE086E">
        <w:t xml:space="preserve">The adoption of this policy is voluntary and can be implemented in a variety of manners, including but not limited to: </w:t>
      </w:r>
      <w:r w:rsidR="00A00A08" w:rsidRPr="00AE086E">
        <w:t xml:space="preserve">existing policies, </w:t>
      </w:r>
      <w:r w:rsidRPr="00AE086E">
        <w:t>internal personnel policies, memorandum of understanding</w:t>
      </w:r>
      <w:r w:rsidR="00A00A08" w:rsidRPr="00AE086E">
        <w:t xml:space="preserve">s or agreements </w:t>
      </w:r>
      <w:r w:rsidRPr="00AE086E">
        <w:t>between local governmental and regulatory entities</w:t>
      </w:r>
      <w:r w:rsidR="00A00A08" w:rsidRPr="00AE086E">
        <w:t xml:space="preserve"> (MOU’s or MOA’s)</w:t>
      </w:r>
      <w:r w:rsidRPr="00AE086E">
        <w:t>, and resolutions.</w:t>
      </w:r>
    </w:p>
    <w:p w:rsidR="009F0096" w:rsidRDefault="009F0096" w:rsidP="00790400">
      <w:pPr>
        <w:spacing w:after="60" w:line="240" w:lineRule="auto"/>
      </w:pPr>
    </w:p>
    <w:p w:rsidR="00790400" w:rsidRPr="00790400" w:rsidRDefault="00790400" w:rsidP="0095152D">
      <w:pPr>
        <w:pStyle w:val="ListParagraph"/>
        <w:numPr>
          <w:ilvl w:val="0"/>
          <w:numId w:val="9"/>
        </w:numPr>
        <w:spacing w:line="240" w:lineRule="auto"/>
        <w:rPr>
          <w:b/>
          <w:bCs/>
        </w:rPr>
      </w:pPr>
      <w:r w:rsidRPr="00790400">
        <w:rPr>
          <w:b/>
          <w:bCs/>
        </w:rPr>
        <w:t>Definition</w:t>
      </w:r>
    </w:p>
    <w:p w:rsidR="00790400" w:rsidRPr="00790400" w:rsidRDefault="00790400" w:rsidP="00790400">
      <w:pPr>
        <w:spacing w:after="60" w:line="240" w:lineRule="auto"/>
      </w:pPr>
      <w:r>
        <w:t xml:space="preserve">Within this policy, </w:t>
      </w:r>
      <w:r w:rsidRPr="00790400">
        <w:t>“</w:t>
      </w:r>
      <w:proofErr w:type="gramStart"/>
      <w:r w:rsidRPr="00790400">
        <w:t>idling</w:t>
      </w:r>
      <w:proofErr w:type="gramEnd"/>
      <w:r w:rsidRPr="00790400">
        <w:t xml:space="preserve">” means allowing an engine to run while the motor vehicle is not engaged in forward or reverse motion. </w:t>
      </w:r>
    </w:p>
    <w:p w:rsidR="00790400" w:rsidRDefault="00790400" w:rsidP="00790400">
      <w:pPr>
        <w:spacing w:after="60" w:line="240" w:lineRule="auto"/>
        <w:rPr>
          <w:b/>
          <w:bCs/>
        </w:rPr>
      </w:pPr>
    </w:p>
    <w:p w:rsidR="00790400" w:rsidRPr="00AE086E" w:rsidRDefault="00790400" w:rsidP="0095152D">
      <w:pPr>
        <w:pStyle w:val="ListParagraph"/>
        <w:numPr>
          <w:ilvl w:val="0"/>
          <w:numId w:val="9"/>
        </w:numPr>
        <w:spacing w:line="240" w:lineRule="auto"/>
        <w:rPr>
          <w:b/>
          <w:bCs/>
        </w:rPr>
      </w:pPr>
      <w:r>
        <w:rPr>
          <w:b/>
          <w:bCs/>
        </w:rPr>
        <w:t>Applicability</w:t>
      </w:r>
    </w:p>
    <w:p w:rsidR="00790400" w:rsidRPr="00AE086E" w:rsidRDefault="00790400" w:rsidP="00790400">
      <w:pPr>
        <w:spacing w:after="60" w:line="240" w:lineRule="auto"/>
      </w:pPr>
      <w:r w:rsidRPr="00AE086E">
        <w:t>This policy is recommended for application by public and private entities in the operation of on- and off-road diesel-powered vehicles in the greater Houston-Galveston-Brazoria (HGB) area:</w:t>
      </w:r>
    </w:p>
    <w:p w:rsidR="00790400" w:rsidRDefault="00790400" w:rsidP="00790400">
      <w:pPr>
        <w:spacing w:after="60" w:line="240" w:lineRule="auto"/>
        <w:rPr>
          <w:b/>
          <w:bCs/>
        </w:rPr>
      </w:pPr>
    </w:p>
    <w:p w:rsidR="00520AE8" w:rsidRPr="00AE086E" w:rsidRDefault="00520AE8" w:rsidP="0095152D">
      <w:pPr>
        <w:pStyle w:val="ListParagraph"/>
        <w:numPr>
          <w:ilvl w:val="0"/>
          <w:numId w:val="9"/>
        </w:numPr>
        <w:spacing w:line="240" w:lineRule="auto"/>
        <w:rPr>
          <w:b/>
          <w:bCs/>
        </w:rPr>
      </w:pPr>
      <w:r w:rsidRPr="00AE086E">
        <w:rPr>
          <w:b/>
          <w:bCs/>
        </w:rPr>
        <w:t>Suggested Policy for Adoption</w:t>
      </w:r>
    </w:p>
    <w:p w:rsidR="00520AE8" w:rsidRPr="00AE086E" w:rsidRDefault="00520AE8" w:rsidP="00790400">
      <w:pPr>
        <w:spacing w:after="60" w:line="240" w:lineRule="auto"/>
      </w:pPr>
      <w:r w:rsidRPr="00AE086E">
        <w:t xml:space="preserve">All </w:t>
      </w:r>
      <w:r w:rsidR="00B23FF9" w:rsidRPr="00AE086E">
        <w:t>diesel-engine operators</w:t>
      </w:r>
      <w:r w:rsidRPr="00AE086E">
        <w:t xml:space="preserve"> should limit unnecessary idling as follows: </w:t>
      </w:r>
    </w:p>
    <w:p w:rsidR="00520AE8" w:rsidRPr="00AE086E" w:rsidRDefault="00520AE8" w:rsidP="0095152D">
      <w:pPr>
        <w:pStyle w:val="ListParagraph"/>
        <w:numPr>
          <w:ilvl w:val="0"/>
          <w:numId w:val="1"/>
        </w:numPr>
        <w:spacing w:after="60" w:line="240" w:lineRule="auto"/>
      </w:pPr>
      <w:r w:rsidRPr="00AE086E">
        <w:t>Turn off engines while loading, unloading, waiting in line, and/or making deliveries to any faci</w:t>
      </w:r>
      <w:r w:rsidR="00AE086E">
        <w:t>lity, if time exceeds 5 minutes;</w:t>
      </w:r>
      <w:r w:rsidRPr="00AE086E">
        <w:t xml:space="preserve"> </w:t>
      </w:r>
    </w:p>
    <w:p w:rsidR="00520AE8" w:rsidRPr="00AE086E" w:rsidRDefault="00520AE8" w:rsidP="00790400">
      <w:pPr>
        <w:numPr>
          <w:ilvl w:val="0"/>
          <w:numId w:val="1"/>
        </w:numPr>
        <w:spacing w:after="60" w:line="240" w:lineRule="auto"/>
      </w:pPr>
      <w:r w:rsidRPr="00AE086E">
        <w:t xml:space="preserve">Limit </w:t>
      </w:r>
      <w:r w:rsidR="009F0096" w:rsidRPr="00AE086E">
        <w:t>start-up or</w:t>
      </w:r>
      <w:r w:rsidRPr="00AE086E">
        <w:t xml:space="preserve"> warm-up</w:t>
      </w:r>
      <w:r w:rsidR="009F0096" w:rsidRPr="00AE086E">
        <w:t xml:space="preserve"> time</w:t>
      </w:r>
      <w:r w:rsidRPr="00AE086E">
        <w:t xml:space="preserve">; </w:t>
      </w:r>
    </w:p>
    <w:p w:rsidR="009F0096" w:rsidRDefault="009F0096" w:rsidP="00790400">
      <w:pPr>
        <w:numPr>
          <w:ilvl w:val="0"/>
          <w:numId w:val="1"/>
        </w:numPr>
        <w:spacing w:after="60" w:line="240" w:lineRule="auto"/>
      </w:pPr>
      <w:r w:rsidRPr="00AE086E">
        <w:lastRenderedPageBreak/>
        <w:t>Turn off diesel-powered equipment when not in use</w:t>
      </w:r>
      <w:r w:rsidR="00460521" w:rsidRPr="00AE086E">
        <w:t>;</w:t>
      </w:r>
    </w:p>
    <w:p w:rsidR="00790400" w:rsidRDefault="00790400" w:rsidP="00790400">
      <w:pPr>
        <w:spacing w:after="60" w:line="240" w:lineRule="auto"/>
        <w:rPr>
          <w:b/>
          <w:bCs/>
        </w:rPr>
      </w:pPr>
    </w:p>
    <w:p w:rsidR="00790400" w:rsidRPr="00790400" w:rsidRDefault="00790400" w:rsidP="0095152D">
      <w:pPr>
        <w:pStyle w:val="ListParagraph"/>
        <w:numPr>
          <w:ilvl w:val="0"/>
          <w:numId w:val="9"/>
        </w:numPr>
        <w:spacing w:line="240" w:lineRule="auto"/>
        <w:rPr>
          <w:b/>
          <w:bCs/>
        </w:rPr>
      </w:pPr>
      <w:r>
        <w:rPr>
          <w:b/>
          <w:bCs/>
        </w:rPr>
        <w:t>Exceptions</w:t>
      </w:r>
    </w:p>
    <w:p w:rsidR="009F0096" w:rsidRPr="00AE086E" w:rsidRDefault="009F0096" w:rsidP="00790400">
      <w:pPr>
        <w:spacing w:line="240" w:lineRule="auto"/>
      </w:pPr>
      <w:r w:rsidRPr="00AE086E">
        <w:t>Exceptions to consider as appropriate to the entities operations include, but are not limited to:</w:t>
      </w:r>
    </w:p>
    <w:p w:rsidR="009F0096" w:rsidRPr="00AE086E" w:rsidRDefault="009F0096" w:rsidP="0095152D">
      <w:pPr>
        <w:numPr>
          <w:ilvl w:val="0"/>
          <w:numId w:val="10"/>
        </w:numPr>
        <w:spacing w:after="60" w:line="240" w:lineRule="auto"/>
      </w:pPr>
      <w:r w:rsidRPr="00AE086E">
        <w:t xml:space="preserve">Situations that could compromise health and safety; </w:t>
      </w:r>
    </w:p>
    <w:p w:rsidR="009F0096" w:rsidRPr="00AE086E" w:rsidRDefault="009F0096" w:rsidP="0095152D">
      <w:pPr>
        <w:numPr>
          <w:ilvl w:val="0"/>
          <w:numId w:val="10"/>
        </w:numPr>
        <w:spacing w:after="60" w:line="240" w:lineRule="auto"/>
      </w:pPr>
      <w:r w:rsidRPr="00AE086E">
        <w:t>Emergency or law enforcement needs;</w:t>
      </w:r>
    </w:p>
    <w:p w:rsidR="009F0096" w:rsidRPr="00AE086E" w:rsidRDefault="009F0096" w:rsidP="0095152D">
      <w:pPr>
        <w:numPr>
          <w:ilvl w:val="0"/>
          <w:numId w:val="10"/>
        </w:numPr>
        <w:spacing w:after="60" w:line="240" w:lineRule="auto"/>
      </w:pPr>
      <w:r w:rsidRPr="00AE086E">
        <w:t>Safe operation of equipment;</w:t>
      </w:r>
    </w:p>
    <w:p w:rsidR="009F0096" w:rsidRPr="00AE086E" w:rsidRDefault="009F0096" w:rsidP="0095152D">
      <w:pPr>
        <w:numPr>
          <w:ilvl w:val="0"/>
          <w:numId w:val="10"/>
        </w:numPr>
        <w:spacing w:after="60" w:line="240" w:lineRule="auto"/>
      </w:pPr>
      <w:r w:rsidRPr="00AE086E">
        <w:t>Other specific operational needs of each entity; or</w:t>
      </w:r>
    </w:p>
    <w:p w:rsidR="009F0096" w:rsidRPr="00AE086E" w:rsidRDefault="009F0096" w:rsidP="0095152D">
      <w:pPr>
        <w:numPr>
          <w:ilvl w:val="0"/>
          <w:numId w:val="10"/>
        </w:numPr>
        <w:spacing w:after="60" w:line="240" w:lineRule="auto"/>
      </w:pPr>
      <w:r w:rsidRPr="00AE086E">
        <w:t>As required by law.</w:t>
      </w:r>
    </w:p>
    <w:p w:rsidR="00BB02F9" w:rsidRPr="00AE086E" w:rsidRDefault="00BB02F9" w:rsidP="00790400">
      <w:pPr>
        <w:spacing w:after="60" w:line="240" w:lineRule="auto"/>
      </w:pPr>
    </w:p>
    <w:p w:rsidR="0047250E" w:rsidRPr="00AE086E" w:rsidRDefault="00BB02F9" w:rsidP="0095152D">
      <w:pPr>
        <w:pStyle w:val="ListParagraph"/>
        <w:numPr>
          <w:ilvl w:val="0"/>
          <w:numId w:val="9"/>
        </w:numPr>
        <w:spacing w:line="240" w:lineRule="auto"/>
        <w:rPr>
          <w:b/>
        </w:rPr>
      </w:pPr>
      <w:r w:rsidRPr="00C06984">
        <w:rPr>
          <w:b/>
          <w:bCs/>
        </w:rPr>
        <w:t>Suggested</w:t>
      </w:r>
      <w:r w:rsidRPr="00AE086E">
        <w:rPr>
          <w:b/>
        </w:rPr>
        <w:t xml:space="preserve"> </w:t>
      </w:r>
      <w:r w:rsidR="0047250E" w:rsidRPr="00AE086E">
        <w:rPr>
          <w:b/>
        </w:rPr>
        <w:t>Resources</w:t>
      </w:r>
    </w:p>
    <w:p w:rsidR="0047250E" w:rsidRPr="00AE086E" w:rsidRDefault="0047250E" w:rsidP="00790400">
      <w:pPr>
        <w:spacing w:after="60" w:line="240" w:lineRule="auto"/>
      </w:pPr>
      <w:r w:rsidRPr="00AE086E">
        <w:t xml:space="preserve">Certain tools are recommended to </w:t>
      </w:r>
      <w:r w:rsidR="008E1F25" w:rsidRPr="00AE086E">
        <w:t xml:space="preserve">facilitate the </w:t>
      </w:r>
      <w:r w:rsidRPr="00AE086E">
        <w:t>distribut</w:t>
      </w:r>
      <w:r w:rsidR="008E1F25" w:rsidRPr="00AE086E">
        <w:t>ion of</w:t>
      </w:r>
      <w:r w:rsidRPr="00AE086E">
        <w:t xml:space="preserve"> a </w:t>
      </w:r>
      <w:r w:rsidR="0060234E" w:rsidRPr="00AE086E">
        <w:t>consistent</w:t>
      </w:r>
      <w:r w:rsidRPr="00AE086E">
        <w:t xml:space="preserve"> regional </w:t>
      </w:r>
      <w:r w:rsidR="0060234E" w:rsidRPr="00AE086E">
        <w:t xml:space="preserve">idling </w:t>
      </w:r>
      <w:r w:rsidR="00AE086E">
        <w:t>message, such as promoting a</w:t>
      </w:r>
      <w:r w:rsidRPr="00AE086E">
        <w:t xml:space="preserve"> regional </w:t>
      </w:r>
      <w:r w:rsidR="0060234E" w:rsidRPr="00AE086E">
        <w:t>i</w:t>
      </w:r>
      <w:r w:rsidRPr="00AE086E">
        <w:t xml:space="preserve">dling </w:t>
      </w:r>
      <w:r w:rsidR="0060234E" w:rsidRPr="00AE086E">
        <w:t>h</w:t>
      </w:r>
      <w:r w:rsidRPr="00AE086E">
        <w:t xml:space="preserve">otline to </w:t>
      </w:r>
      <w:r w:rsidR="008E1F25" w:rsidRPr="00AE086E">
        <w:t xml:space="preserve">share </w:t>
      </w:r>
      <w:r w:rsidRPr="00AE086E">
        <w:t>information</w:t>
      </w:r>
      <w:r w:rsidR="00AE086E">
        <w:t>, and establishing c</w:t>
      </w:r>
      <w:r w:rsidRPr="00AE086E">
        <w:t xml:space="preserve">onsistent signage </w:t>
      </w:r>
      <w:r w:rsidR="00AE086E">
        <w:t>to</w:t>
      </w:r>
      <w:r w:rsidRPr="00AE086E">
        <w:t xml:space="preserve"> ensure regional consistency.</w:t>
      </w:r>
    </w:p>
    <w:p w:rsidR="00AE086E" w:rsidRPr="00AE086E" w:rsidRDefault="00AE086E" w:rsidP="00790400">
      <w:pPr>
        <w:spacing w:line="240" w:lineRule="auto"/>
        <w:rPr>
          <w:b/>
          <w:bCs/>
        </w:rPr>
      </w:pPr>
    </w:p>
    <w:p w:rsidR="00377A27" w:rsidRPr="00AE086E" w:rsidRDefault="00A00A08" w:rsidP="0095152D">
      <w:pPr>
        <w:pStyle w:val="ListParagraph"/>
        <w:numPr>
          <w:ilvl w:val="0"/>
          <w:numId w:val="9"/>
        </w:numPr>
        <w:spacing w:line="240" w:lineRule="auto"/>
        <w:rPr>
          <w:b/>
          <w:bCs/>
        </w:rPr>
      </w:pPr>
      <w:r w:rsidRPr="0095152D">
        <w:rPr>
          <w:b/>
        </w:rPr>
        <w:t>Policy</w:t>
      </w:r>
      <w:r w:rsidRPr="00AE086E">
        <w:rPr>
          <w:b/>
          <w:bCs/>
        </w:rPr>
        <w:t xml:space="preserve"> </w:t>
      </w:r>
      <w:r w:rsidR="00377A27" w:rsidRPr="00AE086E">
        <w:rPr>
          <w:b/>
          <w:bCs/>
        </w:rPr>
        <w:t xml:space="preserve">Rationale </w:t>
      </w:r>
    </w:p>
    <w:p w:rsidR="00377A27" w:rsidRDefault="00377A27" w:rsidP="00790400">
      <w:pPr>
        <w:spacing w:after="60" w:line="240" w:lineRule="auto"/>
      </w:pPr>
      <w:r w:rsidRPr="00AE086E">
        <w:t xml:space="preserve">Minimizing </w:t>
      </w:r>
      <w:r w:rsidR="00460521" w:rsidRPr="00AE086E">
        <w:t xml:space="preserve">diesel-engine </w:t>
      </w:r>
      <w:r w:rsidRPr="00AE086E">
        <w:t>idling results in economic, environmental, and quality of life</w:t>
      </w:r>
      <w:r w:rsidR="00460521" w:rsidRPr="00AE086E">
        <w:t xml:space="preserve"> benefits</w:t>
      </w:r>
      <w:r w:rsidRPr="00AE086E">
        <w:t xml:space="preserve">. Reducing idling is beneficial in the following ways: </w:t>
      </w:r>
    </w:p>
    <w:p w:rsidR="00C06984" w:rsidRPr="00AE086E" w:rsidRDefault="00C06984" w:rsidP="00790400">
      <w:pPr>
        <w:spacing w:after="60" w:line="240" w:lineRule="auto"/>
      </w:pPr>
    </w:p>
    <w:p w:rsidR="00377A27" w:rsidRPr="00AE086E" w:rsidRDefault="00377A27" w:rsidP="0095152D">
      <w:pPr>
        <w:numPr>
          <w:ilvl w:val="0"/>
          <w:numId w:val="11"/>
        </w:numPr>
        <w:spacing w:after="60" w:line="240" w:lineRule="auto"/>
      </w:pPr>
      <w:r w:rsidRPr="00AE086E">
        <w:t xml:space="preserve">Saves Money: Idling of diesel engines wastes fuel and drains financial resources. </w:t>
      </w:r>
      <w:r w:rsidR="00AE086E">
        <w:t xml:space="preserve"> </w:t>
      </w:r>
      <w:r w:rsidRPr="00AE086E">
        <w:t xml:space="preserve">For example, eliminating bus and truck idling can save </w:t>
      </w:r>
      <w:r w:rsidR="0032369C" w:rsidRPr="00AE086E">
        <w:t>thousands</w:t>
      </w:r>
      <w:r w:rsidRPr="00AE086E">
        <w:t xml:space="preserve"> </w:t>
      </w:r>
      <w:r w:rsidR="0032369C" w:rsidRPr="00AE086E">
        <w:t xml:space="preserve">of dollars </w:t>
      </w:r>
      <w:r w:rsidRPr="00AE086E">
        <w:t xml:space="preserve">per vehicle / per year. </w:t>
      </w:r>
    </w:p>
    <w:p w:rsidR="00377A27" w:rsidRPr="00AE086E" w:rsidRDefault="00377A27" w:rsidP="0095152D">
      <w:pPr>
        <w:numPr>
          <w:ilvl w:val="0"/>
          <w:numId w:val="11"/>
        </w:numPr>
        <w:spacing w:after="60" w:line="240" w:lineRule="auto"/>
      </w:pPr>
      <w:r w:rsidRPr="00AE086E">
        <w:t>Protects the Environment: Idling engines significantly contribute to air pollution; Idling increases fine particulates, greenhouse gases, and nitrogen oxide (</w:t>
      </w:r>
      <w:proofErr w:type="spellStart"/>
      <w:r w:rsidRPr="00AE086E">
        <w:t>NO</w:t>
      </w:r>
      <w:r w:rsidRPr="0095152D">
        <w:t>x</w:t>
      </w:r>
      <w:proofErr w:type="spellEnd"/>
      <w:r w:rsidRPr="00AE086E">
        <w:t xml:space="preserve">) emissions, a major component in the formation of ground-level ozone. Reducing idling will assist the HGB </w:t>
      </w:r>
      <w:r w:rsidR="00344073" w:rsidRPr="00AE086E">
        <w:t xml:space="preserve">area </w:t>
      </w:r>
      <w:r w:rsidRPr="00AE086E">
        <w:t>in attaining the National Ambient Air Quality Standard for ground-level ozone (currently in non-attainment).</w:t>
      </w:r>
    </w:p>
    <w:p w:rsidR="00377A27" w:rsidRPr="00AE086E" w:rsidRDefault="00377A27" w:rsidP="0095152D">
      <w:pPr>
        <w:numPr>
          <w:ilvl w:val="0"/>
          <w:numId w:val="11"/>
        </w:numPr>
        <w:spacing w:after="60" w:line="240" w:lineRule="auto"/>
      </w:pPr>
      <w:r w:rsidRPr="00AE086E">
        <w:t xml:space="preserve">Reduces Health Risks: Health risks, such as lung damage, respiratory problems, asthma and cancer, have been linked to the accumulated exposure to exhaust from idling vehicles. Reducing idling in turn reduces the potential health risks. </w:t>
      </w:r>
    </w:p>
    <w:p w:rsidR="00377A27" w:rsidRPr="00AE086E" w:rsidRDefault="00377A27" w:rsidP="0095152D">
      <w:pPr>
        <w:numPr>
          <w:ilvl w:val="0"/>
          <w:numId w:val="11"/>
        </w:numPr>
        <w:spacing w:after="60" w:line="240" w:lineRule="auto"/>
      </w:pPr>
      <w:r w:rsidRPr="00AE086E">
        <w:t>Promotes Safety: Reduced idling enhances safety in the working environment and public safety in general</w:t>
      </w:r>
      <w:r w:rsidR="0032369C" w:rsidRPr="00AE086E">
        <w:t>.</w:t>
      </w:r>
    </w:p>
    <w:p w:rsidR="00FC7B4E" w:rsidRPr="00AE086E" w:rsidRDefault="0039512B" w:rsidP="0095152D">
      <w:pPr>
        <w:numPr>
          <w:ilvl w:val="0"/>
          <w:numId w:val="11"/>
        </w:numPr>
        <w:spacing w:after="60" w:line="240" w:lineRule="auto"/>
      </w:pPr>
      <w:r w:rsidRPr="00AE086E">
        <w:t xml:space="preserve">Positive Corporate Image: A corporate dedication to idling reduction demonstrates fiscal responsibility, social consciousness, employee concern and environmental stewardship. </w:t>
      </w:r>
    </w:p>
    <w:p w:rsidR="000C027E" w:rsidRPr="00AE086E" w:rsidRDefault="000C027E" w:rsidP="00790400">
      <w:pPr>
        <w:pStyle w:val="ListParagraph"/>
        <w:spacing w:after="60" w:line="240" w:lineRule="auto"/>
        <w:ind w:left="360"/>
      </w:pPr>
    </w:p>
    <w:p w:rsidR="00FC7B4E" w:rsidRPr="00AE086E" w:rsidRDefault="00FC7B4E" w:rsidP="0095152D">
      <w:pPr>
        <w:pStyle w:val="ListParagraph"/>
        <w:numPr>
          <w:ilvl w:val="0"/>
          <w:numId w:val="9"/>
        </w:numPr>
        <w:spacing w:line="240" w:lineRule="auto"/>
        <w:rPr>
          <w:b/>
        </w:rPr>
      </w:pPr>
      <w:r w:rsidRPr="00C06984">
        <w:rPr>
          <w:b/>
          <w:bCs/>
        </w:rPr>
        <w:t>Message</w:t>
      </w:r>
      <w:r w:rsidRPr="00AE086E">
        <w:rPr>
          <w:b/>
        </w:rPr>
        <w:t xml:space="preserve"> Rational</w:t>
      </w:r>
      <w:r w:rsidR="00D3454D" w:rsidRPr="00AE086E">
        <w:rPr>
          <w:b/>
        </w:rPr>
        <w:t>e</w:t>
      </w:r>
    </w:p>
    <w:p w:rsidR="009111E6" w:rsidRPr="00AE086E" w:rsidRDefault="00FC7B4E" w:rsidP="0095152D">
      <w:pPr>
        <w:numPr>
          <w:ilvl w:val="0"/>
          <w:numId w:val="12"/>
        </w:numPr>
        <w:spacing w:after="60" w:line="240" w:lineRule="auto"/>
      </w:pPr>
      <w:r w:rsidRPr="00AE086E">
        <w:t xml:space="preserve">Provide consistent message for entities and targeted on-road/off-road diesel operators to </w:t>
      </w:r>
      <w:r w:rsidR="00A24401" w:rsidRPr="00AE086E">
        <w:t>influence and reinforce necessary</w:t>
      </w:r>
      <w:r w:rsidRPr="00AE086E">
        <w:t xml:space="preserve"> </w:t>
      </w:r>
      <w:r w:rsidR="00A24401" w:rsidRPr="00AE086E">
        <w:t>behavioral changes.</w:t>
      </w:r>
    </w:p>
    <w:p w:rsidR="00A24401" w:rsidRPr="00AE086E" w:rsidRDefault="00A24401" w:rsidP="00790400">
      <w:pPr>
        <w:pStyle w:val="ListParagraph"/>
        <w:spacing w:after="60" w:line="240" w:lineRule="auto"/>
        <w:ind w:left="360"/>
      </w:pPr>
    </w:p>
    <w:p w:rsidR="00C06984" w:rsidRDefault="00C06984" w:rsidP="00790400">
      <w:pPr>
        <w:spacing w:line="240" w:lineRule="auto"/>
        <w:rPr>
          <w:b/>
          <w:bCs/>
        </w:rPr>
      </w:pPr>
    </w:p>
    <w:p w:rsidR="00C06984" w:rsidRDefault="00C06984" w:rsidP="00790400">
      <w:pPr>
        <w:spacing w:line="240" w:lineRule="auto"/>
        <w:rPr>
          <w:b/>
          <w:bCs/>
        </w:rPr>
      </w:pPr>
      <w:r>
        <w:rPr>
          <w:b/>
          <w:bCs/>
        </w:rPr>
        <w:br w:type="page"/>
      </w:r>
    </w:p>
    <w:p w:rsidR="00377A27" w:rsidRPr="00AE086E" w:rsidRDefault="00377A27" w:rsidP="00790400">
      <w:pPr>
        <w:spacing w:line="240" w:lineRule="auto"/>
        <w:ind w:left="-360"/>
        <w:rPr>
          <w:b/>
          <w:bCs/>
        </w:rPr>
      </w:pPr>
      <w:r w:rsidRPr="00AE086E">
        <w:rPr>
          <w:b/>
          <w:bCs/>
        </w:rPr>
        <w:lastRenderedPageBreak/>
        <w:t>Additional Resources/References</w:t>
      </w:r>
    </w:p>
    <w:p w:rsidR="009111E6" w:rsidRPr="00AE086E" w:rsidRDefault="009111E6" w:rsidP="00790400">
      <w:pPr>
        <w:numPr>
          <w:ilvl w:val="0"/>
          <w:numId w:val="2"/>
        </w:numPr>
        <w:spacing w:after="0" w:line="240" w:lineRule="auto"/>
        <w:sectPr w:rsidR="009111E6" w:rsidRPr="00AE086E" w:rsidSect="00AE086E">
          <w:pgSz w:w="12240" w:h="15840"/>
          <w:pgMar w:top="720" w:right="1440" w:bottom="720" w:left="1440" w:header="720" w:footer="37" w:gutter="0"/>
          <w:cols w:space="720"/>
          <w:docGrid w:linePitch="360"/>
        </w:sectPr>
      </w:pPr>
    </w:p>
    <w:p w:rsidR="00377A27" w:rsidRPr="00AE086E" w:rsidRDefault="00A6088A" w:rsidP="00790400">
      <w:pPr>
        <w:numPr>
          <w:ilvl w:val="0"/>
          <w:numId w:val="2"/>
        </w:numPr>
        <w:spacing w:after="60" w:line="240" w:lineRule="auto"/>
        <w:rPr>
          <w:rStyle w:val="Hyperlink"/>
          <w:color w:val="auto"/>
        </w:rPr>
      </w:pPr>
      <w:hyperlink r:id="rId12" w:history="1">
        <w:r w:rsidR="00377A27" w:rsidRPr="00AE086E">
          <w:rPr>
            <w:rStyle w:val="Hyperlink"/>
            <w:color w:val="auto"/>
          </w:rPr>
          <w:t>Sample Idling Policy, Clean School Bus USA, U.S. EPA</w:t>
        </w:r>
      </w:hyperlink>
    </w:p>
    <w:p w:rsidR="00377A27" w:rsidRPr="00AE086E" w:rsidRDefault="00A6088A" w:rsidP="00790400">
      <w:pPr>
        <w:numPr>
          <w:ilvl w:val="0"/>
          <w:numId w:val="2"/>
        </w:numPr>
        <w:spacing w:after="60" w:line="240" w:lineRule="auto"/>
        <w:rPr>
          <w:rStyle w:val="Hyperlink"/>
          <w:color w:val="auto"/>
        </w:rPr>
      </w:pPr>
      <w:hyperlink r:id="rId13" w:history="1">
        <w:r w:rsidR="00377A27" w:rsidRPr="00AE086E">
          <w:rPr>
            <w:rStyle w:val="Hyperlink"/>
            <w:color w:val="auto"/>
          </w:rPr>
          <w:t>Sample Policy to Limit School Bus Idling for Texas School Districts and Charter Schools (H-GAC)</w:t>
        </w:r>
      </w:hyperlink>
    </w:p>
    <w:p w:rsidR="00377A27" w:rsidRPr="00AE086E" w:rsidRDefault="00A6088A" w:rsidP="00790400">
      <w:pPr>
        <w:numPr>
          <w:ilvl w:val="0"/>
          <w:numId w:val="2"/>
        </w:numPr>
        <w:spacing w:after="60" w:line="240" w:lineRule="auto"/>
        <w:rPr>
          <w:rStyle w:val="Hyperlink"/>
          <w:color w:val="auto"/>
        </w:rPr>
      </w:pPr>
      <w:hyperlink r:id="rId14" w:history="1">
        <w:r w:rsidR="00377A27" w:rsidRPr="00AE086E">
          <w:rPr>
            <w:rStyle w:val="Hyperlink"/>
            <w:color w:val="auto"/>
          </w:rPr>
          <w:t>ARB Written Idling Policy Guidelines</w:t>
        </w:r>
      </w:hyperlink>
    </w:p>
    <w:p w:rsidR="00377A27" w:rsidRPr="00AE086E" w:rsidRDefault="00A6088A" w:rsidP="00790400">
      <w:pPr>
        <w:numPr>
          <w:ilvl w:val="0"/>
          <w:numId w:val="2"/>
        </w:numPr>
        <w:spacing w:after="60" w:line="240" w:lineRule="auto"/>
        <w:rPr>
          <w:rStyle w:val="Hyperlink"/>
          <w:color w:val="auto"/>
        </w:rPr>
      </w:pPr>
      <w:hyperlink r:id="rId15" w:history="1">
        <w:r w:rsidR="00377A27" w:rsidRPr="00AE086E">
          <w:rPr>
            <w:rStyle w:val="Hyperlink"/>
            <w:color w:val="auto"/>
          </w:rPr>
          <w:t>EPA School Bus Idling Calculator</w:t>
        </w:r>
      </w:hyperlink>
    </w:p>
    <w:p w:rsidR="00377A27" w:rsidRPr="00AE086E" w:rsidRDefault="00A6088A" w:rsidP="00790400">
      <w:pPr>
        <w:numPr>
          <w:ilvl w:val="0"/>
          <w:numId w:val="2"/>
        </w:numPr>
        <w:spacing w:after="60" w:line="240" w:lineRule="auto"/>
        <w:rPr>
          <w:rStyle w:val="Hyperlink"/>
          <w:color w:val="auto"/>
        </w:rPr>
      </w:pPr>
      <w:hyperlink r:id="rId16" w:history="1">
        <w:r w:rsidR="00377A27" w:rsidRPr="00AE086E">
          <w:rPr>
            <w:rStyle w:val="Hyperlink"/>
            <w:color w:val="auto"/>
          </w:rPr>
          <w:t>NRDC No-Idling Policies</w:t>
        </w:r>
      </w:hyperlink>
    </w:p>
    <w:p w:rsidR="00377A27" w:rsidRPr="00AE086E" w:rsidRDefault="00A6088A" w:rsidP="00790400">
      <w:pPr>
        <w:numPr>
          <w:ilvl w:val="0"/>
          <w:numId w:val="2"/>
        </w:numPr>
        <w:spacing w:after="60" w:line="240" w:lineRule="auto"/>
        <w:rPr>
          <w:u w:val="single"/>
        </w:rPr>
      </w:pPr>
      <w:hyperlink r:id="rId17" w:history="1">
        <w:r w:rsidR="00377A27" w:rsidRPr="00AE086E">
          <w:rPr>
            <w:rStyle w:val="Hyperlink"/>
            <w:color w:val="auto"/>
          </w:rPr>
          <w:t>Federal Highway Administration—Idling</w:t>
        </w:r>
      </w:hyperlink>
    </w:p>
    <w:p w:rsidR="0032369C" w:rsidRPr="00AE086E" w:rsidRDefault="00A6088A" w:rsidP="00790400">
      <w:pPr>
        <w:numPr>
          <w:ilvl w:val="0"/>
          <w:numId w:val="2"/>
        </w:numPr>
        <w:spacing w:after="60" w:line="240" w:lineRule="auto"/>
        <w:rPr>
          <w:u w:val="single"/>
        </w:rPr>
      </w:pPr>
      <w:hyperlink r:id="rId18" w:history="1">
        <w:r w:rsidR="0032369C" w:rsidRPr="00AE086E">
          <w:rPr>
            <w:rStyle w:val="Hyperlink"/>
            <w:color w:val="auto"/>
          </w:rPr>
          <w:t>TCEQ</w:t>
        </w:r>
        <w:r w:rsidR="00136051" w:rsidRPr="00AE086E">
          <w:rPr>
            <w:rStyle w:val="Hyperlink"/>
            <w:color w:val="auto"/>
          </w:rPr>
          <w:t xml:space="preserve"> Idling Restrictions</w:t>
        </w:r>
      </w:hyperlink>
      <w:r w:rsidR="00136051" w:rsidRPr="00AE086E">
        <w:t xml:space="preserve"> </w:t>
      </w:r>
    </w:p>
    <w:p w:rsidR="00136051" w:rsidRPr="00AE086E" w:rsidRDefault="0032369C" w:rsidP="00790400">
      <w:pPr>
        <w:numPr>
          <w:ilvl w:val="0"/>
          <w:numId w:val="2"/>
        </w:numPr>
        <w:spacing w:after="60" w:line="240" w:lineRule="auto"/>
        <w:rPr>
          <w:rStyle w:val="Hyperlink"/>
          <w:color w:val="auto"/>
        </w:rPr>
      </w:pPr>
      <w:r w:rsidRPr="00AE086E">
        <w:rPr>
          <w:rStyle w:val="Hyperlink"/>
          <w:color w:val="auto"/>
        </w:rPr>
        <w:t>NCT COG</w:t>
      </w:r>
      <w:r w:rsidR="00136051" w:rsidRPr="00AE086E">
        <w:rPr>
          <w:rStyle w:val="Hyperlink"/>
          <w:color w:val="auto"/>
        </w:rPr>
        <w:t xml:space="preserve"> </w:t>
      </w:r>
      <w:hyperlink r:id="rId19" w:history="1">
        <w:r w:rsidR="00136051" w:rsidRPr="00AE086E">
          <w:rPr>
            <w:rStyle w:val="Hyperlink"/>
            <w:color w:val="auto"/>
          </w:rPr>
          <w:t>Locally</w:t>
        </w:r>
      </w:hyperlink>
      <w:r w:rsidR="00136051" w:rsidRPr="00AE086E">
        <w:rPr>
          <w:rStyle w:val="Hyperlink"/>
          <w:color w:val="auto"/>
        </w:rPr>
        <w:t xml:space="preserve"> Enforced Idling Restrictions </w:t>
      </w:r>
    </w:p>
    <w:p w:rsidR="00377A27" w:rsidRPr="00AE086E" w:rsidRDefault="00A6088A" w:rsidP="00790400">
      <w:pPr>
        <w:numPr>
          <w:ilvl w:val="0"/>
          <w:numId w:val="2"/>
        </w:numPr>
        <w:spacing w:after="60" w:line="240" w:lineRule="auto"/>
        <w:rPr>
          <w:rStyle w:val="Hyperlink"/>
          <w:color w:val="auto"/>
        </w:rPr>
      </w:pPr>
      <w:hyperlink r:id="rId20" w:history="1">
        <w:r w:rsidR="00377A27" w:rsidRPr="00AE086E">
          <w:rPr>
            <w:rStyle w:val="Hyperlink"/>
            <w:color w:val="auto"/>
          </w:rPr>
          <w:t>Diesel Idling Policy, Stanislaus County, California</w:t>
        </w:r>
      </w:hyperlink>
    </w:p>
    <w:p w:rsidR="00377A27" w:rsidRPr="00AE086E" w:rsidRDefault="00A6088A" w:rsidP="00790400">
      <w:pPr>
        <w:numPr>
          <w:ilvl w:val="0"/>
          <w:numId w:val="2"/>
        </w:numPr>
        <w:spacing w:after="60" w:line="240" w:lineRule="auto"/>
        <w:rPr>
          <w:rStyle w:val="Hyperlink"/>
          <w:color w:val="auto"/>
        </w:rPr>
      </w:pPr>
      <w:hyperlink r:id="rId21" w:history="1">
        <w:r w:rsidR="00377A27" w:rsidRPr="00AE086E">
          <w:rPr>
            <w:rStyle w:val="Hyperlink"/>
            <w:color w:val="auto"/>
          </w:rPr>
          <w:t>ATRI Compendium of Idling Regulations</w:t>
        </w:r>
      </w:hyperlink>
    </w:p>
    <w:p w:rsidR="00377A27" w:rsidRPr="00AE086E" w:rsidRDefault="00A6088A" w:rsidP="00790400">
      <w:pPr>
        <w:numPr>
          <w:ilvl w:val="0"/>
          <w:numId w:val="2"/>
        </w:numPr>
        <w:spacing w:after="60" w:line="240" w:lineRule="auto"/>
        <w:rPr>
          <w:rStyle w:val="Hyperlink"/>
          <w:color w:val="auto"/>
        </w:rPr>
      </w:pPr>
      <w:hyperlink r:id="rId22" w:history="1">
        <w:r w:rsidR="00377A27" w:rsidRPr="00AE086E">
          <w:rPr>
            <w:rStyle w:val="Hyperlink"/>
            <w:color w:val="auto"/>
          </w:rPr>
          <w:t>Idling Reduction Programs for the Chicago Metropolitan Area</w:t>
        </w:r>
      </w:hyperlink>
    </w:p>
    <w:p w:rsidR="00377A27" w:rsidRPr="00AE086E" w:rsidRDefault="00A6088A" w:rsidP="00790400">
      <w:pPr>
        <w:numPr>
          <w:ilvl w:val="0"/>
          <w:numId w:val="2"/>
        </w:numPr>
        <w:spacing w:after="60" w:line="240" w:lineRule="auto"/>
        <w:rPr>
          <w:rStyle w:val="Hyperlink"/>
          <w:color w:val="auto"/>
        </w:rPr>
      </w:pPr>
      <w:hyperlink r:id="rId23" w:history="1">
        <w:r w:rsidR="00377A27" w:rsidRPr="00AE086E">
          <w:rPr>
            <w:rStyle w:val="Hyperlink"/>
            <w:color w:val="auto"/>
          </w:rPr>
          <w:t>Texas Department of Transportation Presentation</w:t>
        </w:r>
      </w:hyperlink>
    </w:p>
    <w:p w:rsidR="00377A27" w:rsidRPr="00AE086E" w:rsidRDefault="00A6088A" w:rsidP="00790400">
      <w:pPr>
        <w:numPr>
          <w:ilvl w:val="0"/>
          <w:numId w:val="2"/>
        </w:numPr>
        <w:spacing w:after="60" w:line="240" w:lineRule="auto"/>
        <w:rPr>
          <w:rStyle w:val="Hyperlink"/>
          <w:color w:val="auto"/>
        </w:rPr>
      </w:pPr>
      <w:hyperlink r:id="rId24" w:history="1">
        <w:r w:rsidR="00377A27" w:rsidRPr="00AE086E">
          <w:rPr>
            <w:rStyle w:val="Hyperlink"/>
            <w:color w:val="auto"/>
          </w:rPr>
          <w:t>Ohio Idling Policy</w:t>
        </w:r>
      </w:hyperlink>
    </w:p>
    <w:p w:rsidR="00377A27" w:rsidRPr="00AE086E" w:rsidRDefault="00A6088A" w:rsidP="00790400">
      <w:pPr>
        <w:numPr>
          <w:ilvl w:val="0"/>
          <w:numId w:val="2"/>
        </w:numPr>
        <w:spacing w:after="60" w:line="240" w:lineRule="auto"/>
        <w:rPr>
          <w:rStyle w:val="Hyperlink"/>
          <w:color w:val="auto"/>
        </w:rPr>
      </w:pPr>
      <w:hyperlink r:id="rId25" w:history="1">
        <w:r w:rsidR="00377A27" w:rsidRPr="00AE086E">
          <w:rPr>
            <w:rStyle w:val="Hyperlink"/>
            <w:color w:val="auto"/>
          </w:rPr>
          <w:t>UPS Idling Reduction Policy</w:t>
        </w:r>
      </w:hyperlink>
    </w:p>
    <w:p w:rsidR="00377A27" w:rsidRPr="00AE086E" w:rsidRDefault="00A6088A" w:rsidP="00790400">
      <w:pPr>
        <w:numPr>
          <w:ilvl w:val="0"/>
          <w:numId w:val="6"/>
        </w:numPr>
        <w:spacing w:after="60" w:line="240" w:lineRule="auto"/>
        <w:rPr>
          <w:rStyle w:val="Hyperlink"/>
          <w:rFonts w:eastAsia="Times New Roman"/>
          <w:color w:val="auto"/>
        </w:rPr>
      </w:pPr>
      <w:hyperlink r:id="rId26" w:history="1">
        <w:r w:rsidR="00377A27" w:rsidRPr="00AE086E">
          <w:rPr>
            <w:rStyle w:val="Hyperlink"/>
            <w:rFonts w:eastAsia="Times New Roman"/>
            <w:color w:val="auto"/>
          </w:rPr>
          <w:t>Illinois Green Fleets Truck Idling Brochure</w:t>
        </w:r>
      </w:hyperlink>
      <w:r w:rsidR="00377A27" w:rsidRPr="00AE086E">
        <w:rPr>
          <w:rStyle w:val="Hyperlink"/>
          <w:rFonts w:eastAsia="Times New Roman"/>
          <w:color w:val="auto"/>
        </w:rPr>
        <w:t xml:space="preserve"> </w:t>
      </w:r>
    </w:p>
    <w:p w:rsidR="00377A27" w:rsidRPr="00AE086E" w:rsidRDefault="00A6088A" w:rsidP="00790400">
      <w:pPr>
        <w:numPr>
          <w:ilvl w:val="0"/>
          <w:numId w:val="6"/>
        </w:numPr>
        <w:spacing w:after="60" w:line="240" w:lineRule="auto"/>
        <w:rPr>
          <w:rStyle w:val="Hyperlink"/>
          <w:rFonts w:eastAsia="Times New Roman"/>
          <w:color w:val="auto"/>
        </w:rPr>
      </w:pPr>
      <w:hyperlink r:id="rId27" w:history="1">
        <w:r w:rsidR="00377A27" w:rsidRPr="00AE086E">
          <w:rPr>
            <w:rStyle w:val="Hyperlink"/>
            <w:rFonts w:eastAsia="Times New Roman"/>
            <w:color w:val="auto"/>
          </w:rPr>
          <w:t>Diesel Exhaust and School Bus Idling</w:t>
        </w:r>
      </w:hyperlink>
    </w:p>
    <w:p w:rsidR="00377A27" w:rsidRPr="00AE086E" w:rsidRDefault="00A6088A" w:rsidP="00790400">
      <w:pPr>
        <w:numPr>
          <w:ilvl w:val="0"/>
          <w:numId w:val="6"/>
        </w:numPr>
        <w:spacing w:after="60" w:line="240" w:lineRule="auto"/>
        <w:rPr>
          <w:rStyle w:val="Hyperlink"/>
          <w:rFonts w:eastAsia="Times New Roman"/>
          <w:color w:val="auto"/>
        </w:rPr>
      </w:pPr>
      <w:hyperlink r:id="rId28" w:history="1">
        <w:r w:rsidR="00377A27" w:rsidRPr="00AE086E">
          <w:rPr>
            <w:rStyle w:val="Hyperlink"/>
            <w:rFonts w:eastAsia="Times New Roman"/>
            <w:color w:val="auto"/>
          </w:rPr>
          <w:t>Federal Solution To Reduce Idling</w:t>
        </w:r>
      </w:hyperlink>
      <w:r w:rsidR="00377A27" w:rsidRPr="00AE086E">
        <w:rPr>
          <w:rStyle w:val="Hyperlink"/>
          <w:rFonts w:eastAsia="Times New Roman"/>
          <w:color w:val="auto"/>
        </w:rPr>
        <w:t xml:space="preserve"> </w:t>
      </w:r>
    </w:p>
    <w:p w:rsidR="00377A27" w:rsidRPr="00AE086E" w:rsidRDefault="00A6088A" w:rsidP="00790400">
      <w:pPr>
        <w:numPr>
          <w:ilvl w:val="0"/>
          <w:numId w:val="6"/>
        </w:numPr>
        <w:spacing w:after="60" w:line="240" w:lineRule="auto"/>
        <w:rPr>
          <w:rStyle w:val="Hyperlink"/>
          <w:rFonts w:eastAsia="Times New Roman"/>
          <w:color w:val="auto"/>
        </w:rPr>
      </w:pPr>
      <w:hyperlink r:id="rId29" w:history="1">
        <w:r w:rsidR="00377A27" w:rsidRPr="00AE086E">
          <w:rPr>
            <w:rStyle w:val="Hyperlink"/>
            <w:rFonts w:eastAsia="Times New Roman"/>
            <w:color w:val="auto"/>
          </w:rPr>
          <w:t>Analysis of Technology Options to Reduce the Fuel Consumption of Idling Trucks</w:t>
        </w:r>
      </w:hyperlink>
    </w:p>
    <w:p w:rsidR="00377A27" w:rsidRPr="00AE086E" w:rsidRDefault="00A6088A" w:rsidP="00790400">
      <w:pPr>
        <w:numPr>
          <w:ilvl w:val="0"/>
          <w:numId w:val="2"/>
        </w:numPr>
        <w:spacing w:after="60" w:line="240" w:lineRule="auto"/>
        <w:rPr>
          <w:rStyle w:val="Hyperlink"/>
          <w:color w:val="auto"/>
        </w:rPr>
      </w:pPr>
      <w:hyperlink r:id="rId30" w:history="1">
        <w:r w:rsidR="00377A27" w:rsidRPr="00AE086E">
          <w:rPr>
            <w:rStyle w:val="Hyperlink"/>
            <w:color w:val="auto"/>
          </w:rPr>
          <w:t>Diesel Vehicle information</w:t>
        </w:r>
      </w:hyperlink>
    </w:p>
    <w:p w:rsidR="00377A27" w:rsidRPr="00AE086E" w:rsidRDefault="00A6088A" w:rsidP="00790400">
      <w:pPr>
        <w:numPr>
          <w:ilvl w:val="0"/>
          <w:numId w:val="2"/>
        </w:numPr>
        <w:spacing w:after="60" w:line="240" w:lineRule="auto"/>
        <w:rPr>
          <w:rStyle w:val="Hyperlink"/>
          <w:color w:val="auto"/>
        </w:rPr>
      </w:pPr>
      <w:hyperlink r:id="rId31" w:history="1">
        <w:r w:rsidR="00377A27" w:rsidRPr="00AE086E">
          <w:rPr>
            <w:rStyle w:val="Hyperlink"/>
            <w:color w:val="auto"/>
          </w:rPr>
          <w:t>Argonne Idling Reduction Calculator</w:t>
        </w:r>
      </w:hyperlink>
    </w:p>
    <w:p w:rsidR="00377A27" w:rsidRPr="00AE086E" w:rsidRDefault="00A6088A" w:rsidP="00790400">
      <w:pPr>
        <w:numPr>
          <w:ilvl w:val="0"/>
          <w:numId w:val="2"/>
        </w:numPr>
        <w:spacing w:after="60" w:line="240" w:lineRule="auto"/>
        <w:rPr>
          <w:rStyle w:val="Hyperlink"/>
          <w:color w:val="auto"/>
        </w:rPr>
      </w:pPr>
      <w:hyperlink r:id="rId32" w:history="1">
        <w:r w:rsidR="00377A27" w:rsidRPr="00AE086E">
          <w:rPr>
            <w:rStyle w:val="Hyperlink"/>
            <w:color w:val="auto"/>
          </w:rPr>
          <w:t>Diesel Idling Calculator</w:t>
        </w:r>
      </w:hyperlink>
      <w:r w:rsidR="00377A27" w:rsidRPr="00AE086E">
        <w:rPr>
          <w:rStyle w:val="Hyperlink"/>
          <w:color w:val="auto"/>
        </w:rPr>
        <w:t xml:space="preserve"> </w:t>
      </w:r>
    </w:p>
    <w:p w:rsidR="00377A27" w:rsidRPr="00AE086E" w:rsidRDefault="00A6088A" w:rsidP="00790400">
      <w:pPr>
        <w:numPr>
          <w:ilvl w:val="0"/>
          <w:numId w:val="2"/>
        </w:numPr>
        <w:spacing w:after="60" w:line="240" w:lineRule="auto"/>
        <w:rPr>
          <w:rStyle w:val="Hyperlink"/>
          <w:color w:val="auto"/>
        </w:rPr>
      </w:pPr>
      <w:hyperlink r:id="rId33" w:history="1">
        <w:r w:rsidR="00377A27" w:rsidRPr="00AE086E">
          <w:rPr>
            <w:rStyle w:val="Hyperlink"/>
            <w:color w:val="auto"/>
          </w:rPr>
          <w:t>Costs of Light Duty Idling</w:t>
        </w:r>
      </w:hyperlink>
    </w:p>
    <w:p w:rsidR="0010454F" w:rsidRPr="00AE086E" w:rsidRDefault="00A6088A" w:rsidP="00790400">
      <w:pPr>
        <w:numPr>
          <w:ilvl w:val="0"/>
          <w:numId w:val="2"/>
        </w:numPr>
        <w:spacing w:after="60" w:line="240" w:lineRule="auto"/>
        <w:rPr>
          <w:rStyle w:val="Hyperlink"/>
          <w:color w:val="auto"/>
        </w:rPr>
      </w:pPr>
      <w:hyperlink r:id="rId34" w:history="1">
        <w:r w:rsidR="00377A27" w:rsidRPr="00AE086E">
          <w:rPr>
            <w:rStyle w:val="Hyperlink"/>
            <w:color w:val="auto"/>
          </w:rPr>
          <w:t>Costs of Med/Heavy Duty Idling</w:t>
        </w:r>
      </w:hyperlink>
    </w:p>
    <w:p w:rsidR="0047250E" w:rsidRPr="00AE086E" w:rsidRDefault="00A6088A" w:rsidP="00790400">
      <w:pPr>
        <w:numPr>
          <w:ilvl w:val="0"/>
          <w:numId w:val="2"/>
        </w:numPr>
        <w:spacing w:after="60" w:line="240" w:lineRule="auto"/>
        <w:rPr>
          <w:rStyle w:val="Hyperlink"/>
          <w:color w:val="auto"/>
        </w:rPr>
        <w:sectPr w:rsidR="0047250E" w:rsidRPr="00AE086E" w:rsidSect="00AE086E">
          <w:type w:val="continuous"/>
          <w:pgSz w:w="12240" w:h="15840"/>
          <w:pgMar w:top="720" w:right="720" w:bottom="720" w:left="720" w:header="720" w:footer="37" w:gutter="0"/>
          <w:cols w:num="2" w:space="720"/>
          <w:docGrid w:linePitch="360"/>
        </w:sectPr>
      </w:pPr>
      <w:hyperlink r:id="rId35" w:history="1">
        <w:r w:rsidR="0047250E" w:rsidRPr="00AE086E">
          <w:rPr>
            <w:rStyle w:val="Hyperlink"/>
            <w:color w:val="auto"/>
          </w:rPr>
          <w:t>Sample Anti-idling Street Sign – NCT COG</w:t>
        </w:r>
      </w:hyperlink>
    </w:p>
    <w:p w:rsidR="00AE086E" w:rsidRPr="00AE086E" w:rsidRDefault="00AE086E" w:rsidP="00790400">
      <w:pPr>
        <w:spacing w:after="60" w:line="240" w:lineRule="auto"/>
        <w:ind w:left="720"/>
        <w:rPr>
          <w:rStyle w:val="Hyperlink"/>
          <w:color w:val="auto"/>
        </w:rPr>
        <w:sectPr w:rsidR="00AE086E" w:rsidRPr="00AE086E" w:rsidSect="009111E6">
          <w:type w:val="continuous"/>
          <w:pgSz w:w="12240" w:h="15840"/>
          <w:pgMar w:top="720" w:right="720" w:bottom="720" w:left="720" w:header="720" w:footer="37" w:gutter="0"/>
          <w:cols w:space="720"/>
          <w:docGrid w:linePitch="360"/>
        </w:sectPr>
      </w:pPr>
    </w:p>
    <w:p w:rsidR="0032369C" w:rsidRPr="00AE086E" w:rsidRDefault="0032369C" w:rsidP="00790400">
      <w:pPr>
        <w:spacing w:after="60" w:line="240" w:lineRule="auto"/>
        <w:ind w:firstLine="360"/>
        <w:outlineLvl w:val="2"/>
        <w:rPr>
          <w:b/>
          <w:bCs/>
        </w:rPr>
      </w:pPr>
      <w:r w:rsidRPr="00AE086E">
        <w:rPr>
          <w:b/>
          <w:bCs/>
        </w:rPr>
        <w:lastRenderedPageBreak/>
        <w:t>Diesel Fuel Costs for Idling Buses and Trucks</w:t>
      </w:r>
    </w:p>
    <w:tbl>
      <w:tblPr>
        <w:tblW w:w="10077" w:type="dxa"/>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0"/>
        <w:gridCol w:w="1851"/>
        <w:gridCol w:w="1872"/>
        <w:gridCol w:w="1803"/>
        <w:gridCol w:w="1638"/>
        <w:gridCol w:w="1563"/>
      </w:tblGrid>
      <w:tr w:rsidR="0032369C" w:rsidRPr="00AE086E" w:rsidTr="00136051">
        <w:trPr>
          <w:trHeight w:val="300"/>
          <w:jc w:val="center"/>
        </w:trPr>
        <w:tc>
          <w:tcPr>
            <w:tcW w:w="1350" w:type="dxa"/>
            <w:shd w:val="clear" w:color="auto" w:fill="auto"/>
            <w:noWrap/>
            <w:vAlign w:val="center"/>
          </w:tcPr>
          <w:p w:rsidR="0032369C" w:rsidRPr="00AE086E" w:rsidRDefault="0032369C" w:rsidP="00790400">
            <w:pPr>
              <w:spacing w:after="0" w:line="240" w:lineRule="auto"/>
              <w:jc w:val="center"/>
              <w:rPr>
                <w:b/>
                <w:bCs/>
              </w:rPr>
            </w:pPr>
            <w:r w:rsidRPr="00AE086E">
              <w:rPr>
                <w:b/>
                <w:bCs/>
              </w:rPr>
              <w:t>Vehicle Type</w:t>
            </w:r>
          </w:p>
        </w:tc>
        <w:tc>
          <w:tcPr>
            <w:tcW w:w="1851" w:type="dxa"/>
            <w:shd w:val="clear" w:color="auto" w:fill="auto"/>
            <w:noWrap/>
            <w:vAlign w:val="center"/>
          </w:tcPr>
          <w:p w:rsidR="0032369C" w:rsidRPr="00AE086E" w:rsidRDefault="0032369C" w:rsidP="00790400">
            <w:pPr>
              <w:spacing w:after="0" w:line="240" w:lineRule="auto"/>
              <w:jc w:val="center"/>
              <w:rPr>
                <w:b/>
                <w:bCs/>
              </w:rPr>
            </w:pPr>
            <w:r w:rsidRPr="00AE086E">
              <w:rPr>
                <w:b/>
                <w:bCs/>
              </w:rPr>
              <w:t>Fuel Consumption Rate (Gallons/Hr)</w:t>
            </w:r>
          </w:p>
        </w:tc>
        <w:tc>
          <w:tcPr>
            <w:tcW w:w="1872" w:type="dxa"/>
            <w:shd w:val="clear" w:color="auto" w:fill="auto"/>
            <w:noWrap/>
            <w:vAlign w:val="center"/>
          </w:tcPr>
          <w:p w:rsidR="0032369C" w:rsidRPr="00AE086E" w:rsidRDefault="0032369C" w:rsidP="00790400">
            <w:pPr>
              <w:spacing w:after="0" w:line="240" w:lineRule="auto"/>
              <w:jc w:val="center"/>
              <w:rPr>
                <w:b/>
                <w:bCs/>
              </w:rPr>
            </w:pPr>
            <w:r w:rsidRPr="00AE086E">
              <w:rPr>
                <w:b/>
                <w:bCs/>
              </w:rPr>
              <w:t>Hours Idling / Year</w:t>
            </w:r>
            <w:r w:rsidR="00A00A08" w:rsidRPr="00AE086E">
              <w:rPr>
                <w:b/>
                <w:bCs/>
                <w:vertAlign w:val="superscript"/>
              </w:rPr>
              <w:t>1</w:t>
            </w:r>
          </w:p>
        </w:tc>
        <w:tc>
          <w:tcPr>
            <w:tcW w:w="1803" w:type="dxa"/>
            <w:shd w:val="clear" w:color="auto" w:fill="auto"/>
            <w:noWrap/>
            <w:vAlign w:val="center"/>
          </w:tcPr>
          <w:p w:rsidR="0032369C" w:rsidRPr="00AE086E" w:rsidRDefault="0032369C" w:rsidP="00790400">
            <w:pPr>
              <w:spacing w:after="0" w:line="240" w:lineRule="auto"/>
              <w:jc w:val="center"/>
              <w:rPr>
                <w:b/>
                <w:bCs/>
              </w:rPr>
            </w:pPr>
            <w:r w:rsidRPr="00AE086E">
              <w:rPr>
                <w:b/>
                <w:bCs/>
              </w:rPr>
              <w:t>Diesel Price / Gallon</w:t>
            </w:r>
          </w:p>
        </w:tc>
        <w:tc>
          <w:tcPr>
            <w:tcW w:w="1638" w:type="dxa"/>
            <w:shd w:val="clear" w:color="auto" w:fill="auto"/>
            <w:noWrap/>
            <w:vAlign w:val="center"/>
          </w:tcPr>
          <w:p w:rsidR="0032369C" w:rsidRPr="00AE086E" w:rsidRDefault="0032369C" w:rsidP="00790400">
            <w:pPr>
              <w:spacing w:after="0" w:line="240" w:lineRule="auto"/>
              <w:jc w:val="center"/>
              <w:rPr>
                <w:b/>
                <w:bCs/>
              </w:rPr>
            </w:pPr>
            <w:r w:rsidRPr="00AE086E">
              <w:rPr>
                <w:b/>
                <w:bCs/>
              </w:rPr>
              <w:t>Total Gallons / Year</w:t>
            </w:r>
          </w:p>
        </w:tc>
        <w:tc>
          <w:tcPr>
            <w:tcW w:w="1563" w:type="dxa"/>
            <w:shd w:val="clear" w:color="auto" w:fill="auto"/>
            <w:noWrap/>
            <w:vAlign w:val="center"/>
          </w:tcPr>
          <w:p w:rsidR="0032369C" w:rsidRPr="00AE086E" w:rsidRDefault="0032369C" w:rsidP="00790400">
            <w:pPr>
              <w:spacing w:after="0" w:line="240" w:lineRule="auto"/>
              <w:jc w:val="center"/>
              <w:rPr>
                <w:b/>
                <w:bCs/>
              </w:rPr>
            </w:pPr>
            <w:r w:rsidRPr="00AE086E">
              <w:rPr>
                <w:b/>
                <w:bCs/>
              </w:rPr>
              <w:t>Total Cost of Idling / Year</w:t>
            </w:r>
            <w:r w:rsidR="00A00A08" w:rsidRPr="00AE086E">
              <w:rPr>
                <w:rStyle w:val="FootnoteReference"/>
              </w:rPr>
              <w:t>2</w:t>
            </w:r>
          </w:p>
        </w:tc>
      </w:tr>
      <w:tr w:rsidR="0032369C" w:rsidRPr="00AE086E" w:rsidTr="00136051">
        <w:trPr>
          <w:trHeight w:val="300"/>
          <w:jc w:val="center"/>
        </w:trPr>
        <w:tc>
          <w:tcPr>
            <w:tcW w:w="1350" w:type="dxa"/>
            <w:vMerge w:val="restart"/>
            <w:shd w:val="clear" w:color="auto" w:fill="auto"/>
            <w:noWrap/>
            <w:vAlign w:val="center"/>
          </w:tcPr>
          <w:p w:rsidR="0032369C" w:rsidRPr="00AE086E" w:rsidRDefault="0032369C" w:rsidP="00790400">
            <w:pPr>
              <w:spacing w:after="0" w:line="240" w:lineRule="auto"/>
              <w:jc w:val="center"/>
            </w:pPr>
            <w:r w:rsidRPr="00AE086E">
              <w:t>Diesel Bus</w:t>
            </w:r>
          </w:p>
        </w:tc>
        <w:tc>
          <w:tcPr>
            <w:tcW w:w="1851" w:type="dxa"/>
            <w:shd w:val="clear" w:color="auto" w:fill="auto"/>
            <w:noWrap/>
            <w:vAlign w:val="center"/>
          </w:tcPr>
          <w:p w:rsidR="0032369C" w:rsidRPr="00AE086E" w:rsidRDefault="0032369C" w:rsidP="00790400">
            <w:pPr>
              <w:spacing w:after="0" w:line="240" w:lineRule="auto"/>
              <w:jc w:val="center"/>
            </w:pPr>
            <w:r w:rsidRPr="00AE086E">
              <w:t>0.5</w:t>
            </w:r>
            <w:r w:rsidR="00A00A08" w:rsidRPr="00AE086E">
              <w:rPr>
                <w:rStyle w:val="FootnoteReference"/>
              </w:rPr>
              <w:t>3</w:t>
            </w:r>
          </w:p>
        </w:tc>
        <w:tc>
          <w:tcPr>
            <w:tcW w:w="1872" w:type="dxa"/>
            <w:shd w:val="clear" w:color="auto" w:fill="auto"/>
            <w:noWrap/>
            <w:vAlign w:val="center"/>
          </w:tcPr>
          <w:p w:rsidR="0032369C" w:rsidRPr="00AE086E" w:rsidRDefault="0032369C" w:rsidP="00790400">
            <w:pPr>
              <w:spacing w:after="0" w:line="240" w:lineRule="auto"/>
              <w:jc w:val="center"/>
            </w:pPr>
            <w:r w:rsidRPr="00AE086E">
              <w:t>600 (2 hrs/day)</w:t>
            </w:r>
          </w:p>
        </w:tc>
        <w:tc>
          <w:tcPr>
            <w:tcW w:w="1803" w:type="dxa"/>
            <w:shd w:val="clear" w:color="auto" w:fill="auto"/>
            <w:noWrap/>
            <w:vAlign w:val="center"/>
          </w:tcPr>
          <w:p w:rsidR="0032369C" w:rsidRPr="00AE086E" w:rsidRDefault="0032369C" w:rsidP="00790400">
            <w:pPr>
              <w:spacing w:after="0" w:line="240" w:lineRule="auto"/>
              <w:jc w:val="center"/>
            </w:pPr>
            <w:r w:rsidRPr="00AE086E">
              <w:t>$3.50</w:t>
            </w:r>
          </w:p>
        </w:tc>
        <w:tc>
          <w:tcPr>
            <w:tcW w:w="1638" w:type="dxa"/>
            <w:shd w:val="clear" w:color="auto" w:fill="auto"/>
            <w:noWrap/>
            <w:vAlign w:val="center"/>
          </w:tcPr>
          <w:p w:rsidR="0032369C" w:rsidRPr="00AE086E" w:rsidRDefault="0032369C" w:rsidP="00790400">
            <w:pPr>
              <w:spacing w:after="0" w:line="240" w:lineRule="auto"/>
              <w:jc w:val="center"/>
            </w:pPr>
            <w:r w:rsidRPr="00AE086E">
              <w:t>300</w:t>
            </w:r>
          </w:p>
        </w:tc>
        <w:tc>
          <w:tcPr>
            <w:tcW w:w="1563" w:type="dxa"/>
            <w:shd w:val="clear" w:color="auto" w:fill="auto"/>
            <w:noWrap/>
            <w:vAlign w:val="center"/>
          </w:tcPr>
          <w:p w:rsidR="0032369C" w:rsidRPr="00AE086E" w:rsidRDefault="0032369C" w:rsidP="00790400">
            <w:pPr>
              <w:spacing w:after="0" w:line="240" w:lineRule="auto"/>
              <w:jc w:val="center"/>
            </w:pPr>
            <w:r w:rsidRPr="00AE086E">
              <w:t>$1,050</w:t>
            </w:r>
          </w:p>
        </w:tc>
      </w:tr>
      <w:tr w:rsidR="0032369C" w:rsidRPr="00AE086E" w:rsidTr="00136051">
        <w:trPr>
          <w:trHeight w:val="300"/>
          <w:jc w:val="center"/>
        </w:trPr>
        <w:tc>
          <w:tcPr>
            <w:tcW w:w="1350" w:type="dxa"/>
            <w:vMerge/>
            <w:shd w:val="clear" w:color="auto" w:fill="auto"/>
            <w:noWrap/>
            <w:vAlign w:val="center"/>
          </w:tcPr>
          <w:p w:rsidR="0032369C" w:rsidRPr="00AE086E" w:rsidRDefault="0032369C" w:rsidP="00790400">
            <w:pPr>
              <w:spacing w:after="0" w:line="240" w:lineRule="auto"/>
              <w:jc w:val="center"/>
            </w:pPr>
          </w:p>
        </w:tc>
        <w:tc>
          <w:tcPr>
            <w:tcW w:w="1851" w:type="dxa"/>
            <w:shd w:val="clear" w:color="auto" w:fill="auto"/>
            <w:noWrap/>
            <w:vAlign w:val="center"/>
          </w:tcPr>
          <w:p w:rsidR="0032369C" w:rsidRPr="00AE086E" w:rsidRDefault="0032369C" w:rsidP="00790400">
            <w:pPr>
              <w:spacing w:after="0" w:line="240" w:lineRule="auto"/>
              <w:jc w:val="center"/>
            </w:pPr>
          </w:p>
        </w:tc>
        <w:tc>
          <w:tcPr>
            <w:tcW w:w="1872" w:type="dxa"/>
            <w:shd w:val="clear" w:color="auto" w:fill="auto"/>
            <w:noWrap/>
            <w:vAlign w:val="center"/>
          </w:tcPr>
          <w:p w:rsidR="0032369C" w:rsidRPr="00AE086E" w:rsidRDefault="0032369C" w:rsidP="00790400">
            <w:pPr>
              <w:spacing w:after="0" w:line="240" w:lineRule="auto"/>
              <w:jc w:val="center"/>
            </w:pPr>
            <w:r w:rsidRPr="00AE086E">
              <w:t>1200 (4hrs/day)</w:t>
            </w:r>
          </w:p>
        </w:tc>
        <w:tc>
          <w:tcPr>
            <w:tcW w:w="1803" w:type="dxa"/>
            <w:shd w:val="clear" w:color="auto" w:fill="auto"/>
            <w:noWrap/>
            <w:vAlign w:val="center"/>
          </w:tcPr>
          <w:p w:rsidR="0032369C" w:rsidRPr="00AE086E" w:rsidRDefault="0032369C" w:rsidP="00790400">
            <w:pPr>
              <w:spacing w:after="0" w:line="240" w:lineRule="auto"/>
              <w:jc w:val="center"/>
            </w:pPr>
            <w:r w:rsidRPr="00AE086E">
              <w:t>$3.50</w:t>
            </w:r>
          </w:p>
        </w:tc>
        <w:tc>
          <w:tcPr>
            <w:tcW w:w="1638" w:type="dxa"/>
            <w:shd w:val="clear" w:color="auto" w:fill="auto"/>
            <w:noWrap/>
            <w:vAlign w:val="center"/>
          </w:tcPr>
          <w:p w:rsidR="0032369C" w:rsidRPr="00AE086E" w:rsidRDefault="0032369C" w:rsidP="00790400">
            <w:pPr>
              <w:spacing w:after="0" w:line="240" w:lineRule="auto"/>
              <w:jc w:val="center"/>
            </w:pPr>
            <w:r w:rsidRPr="00AE086E">
              <w:t>600</w:t>
            </w:r>
          </w:p>
        </w:tc>
        <w:tc>
          <w:tcPr>
            <w:tcW w:w="1563" w:type="dxa"/>
            <w:shd w:val="clear" w:color="auto" w:fill="auto"/>
            <w:noWrap/>
            <w:vAlign w:val="center"/>
          </w:tcPr>
          <w:p w:rsidR="0032369C" w:rsidRPr="00AE086E" w:rsidRDefault="0032369C" w:rsidP="00790400">
            <w:pPr>
              <w:spacing w:after="0" w:line="240" w:lineRule="auto"/>
              <w:jc w:val="center"/>
            </w:pPr>
            <w:r w:rsidRPr="00AE086E">
              <w:t>$2,100</w:t>
            </w:r>
          </w:p>
        </w:tc>
      </w:tr>
      <w:tr w:rsidR="0032369C" w:rsidRPr="00AE086E" w:rsidTr="00136051">
        <w:trPr>
          <w:trHeight w:val="300"/>
          <w:jc w:val="center"/>
        </w:trPr>
        <w:tc>
          <w:tcPr>
            <w:tcW w:w="1350" w:type="dxa"/>
            <w:vMerge/>
            <w:shd w:val="clear" w:color="auto" w:fill="auto"/>
            <w:noWrap/>
            <w:vAlign w:val="center"/>
          </w:tcPr>
          <w:p w:rsidR="0032369C" w:rsidRPr="00AE086E" w:rsidRDefault="0032369C" w:rsidP="00790400">
            <w:pPr>
              <w:spacing w:after="0" w:line="240" w:lineRule="auto"/>
              <w:jc w:val="center"/>
            </w:pPr>
          </w:p>
        </w:tc>
        <w:tc>
          <w:tcPr>
            <w:tcW w:w="1851" w:type="dxa"/>
            <w:shd w:val="clear" w:color="auto" w:fill="auto"/>
            <w:noWrap/>
            <w:vAlign w:val="center"/>
          </w:tcPr>
          <w:p w:rsidR="0032369C" w:rsidRPr="00AE086E" w:rsidRDefault="0032369C" w:rsidP="00790400">
            <w:pPr>
              <w:spacing w:after="0" w:line="240" w:lineRule="auto"/>
              <w:jc w:val="center"/>
            </w:pPr>
          </w:p>
        </w:tc>
        <w:tc>
          <w:tcPr>
            <w:tcW w:w="1872" w:type="dxa"/>
            <w:shd w:val="clear" w:color="auto" w:fill="auto"/>
            <w:noWrap/>
            <w:vAlign w:val="center"/>
          </w:tcPr>
          <w:p w:rsidR="0032369C" w:rsidRPr="00AE086E" w:rsidRDefault="0032369C" w:rsidP="00790400">
            <w:pPr>
              <w:spacing w:after="0" w:line="240" w:lineRule="auto"/>
              <w:jc w:val="center"/>
            </w:pPr>
            <w:r w:rsidRPr="00AE086E">
              <w:t>1800 (6 hrs/day)</w:t>
            </w:r>
          </w:p>
        </w:tc>
        <w:tc>
          <w:tcPr>
            <w:tcW w:w="1803" w:type="dxa"/>
            <w:shd w:val="clear" w:color="auto" w:fill="auto"/>
            <w:noWrap/>
            <w:vAlign w:val="center"/>
          </w:tcPr>
          <w:p w:rsidR="0032369C" w:rsidRPr="00AE086E" w:rsidRDefault="0032369C" w:rsidP="00790400">
            <w:pPr>
              <w:spacing w:after="0" w:line="240" w:lineRule="auto"/>
              <w:jc w:val="center"/>
            </w:pPr>
            <w:r w:rsidRPr="00AE086E">
              <w:t>$3.50</w:t>
            </w:r>
          </w:p>
        </w:tc>
        <w:tc>
          <w:tcPr>
            <w:tcW w:w="1638" w:type="dxa"/>
            <w:shd w:val="clear" w:color="auto" w:fill="auto"/>
            <w:noWrap/>
            <w:vAlign w:val="center"/>
          </w:tcPr>
          <w:p w:rsidR="0032369C" w:rsidRPr="00AE086E" w:rsidRDefault="0032369C" w:rsidP="00790400">
            <w:pPr>
              <w:spacing w:after="0" w:line="240" w:lineRule="auto"/>
              <w:jc w:val="center"/>
            </w:pPr>
            <w:r w:rsidRPr="00AE086E">
              <w:t>900</w:t>
            </w:r>
          </w:p>
        </w:tc>
        <w:tc>
          <w:tcPr>
            <w:tcW w:w="1563" w:type="dxa"/>
            <w:shd w:val="clear" w:color="auto" w:fill="auto"/>
            <w:noWrap/>
            <w:vAlign w:val="center"/>
          </w:tcPr>
          <w:p w:rsidR="0032369C" w:rsidRPr="00AE086E" w:rsidRDefault="0032369C" w:rsidP="00790400">
            <w:pPr>
              <w:spacing w:after="0" w:line="240" w:lineRule="auto"/>
              <w:jc w:val="center"/>
            </w:pPr>
            <w:r w:rsidRPr="00AE086E">
              <w:t>$3,150</w:t>
            </w:r>
          </w:p>
        </w:tc>
      </w:tr>
      <w:tr w:rsidR="0032369C" w:rsidRPr="00AE086E" w:rsidTr="00136051">
        <w:trPr>
          <w:trHeight w:val="300"/>
          <w:jc w:val="center"/>
        </w:trPr>
        <w:tc>
          <w:tcPr>
            <w:tcW w:w="1350" w:type="dxa"/>
            <w:vMerge w:val="restart"/>
            <w:shd w:val="clear" w:color="auto" w:fill="auto"/>
            <w:noWrap/>
            <w:vAlign w:val="center"/>
          </w:tcPr>
          <w:p w:rsidR="0032369C" w:rsidRPr="00AE086E" w:rsidRDefault="0032369C" w:rsidP="00790400">
            <w:pPr>
              <w:spacing w:after="0" w:line="240" w:lineRule="auto"/>
              <w:jc w:val="center"/>
            </w:pPr>
            <w:r w:rsidRPr="00AE086E">
              <w:t>Diesel Truck</w:t>
            </w:r>
          </w:p>
          <w:p w:rsidR="0032369C" w:rsidRPr="00AE086E" w:rsidRDefault="0032369C" w:rsidP="00790400">
            <w:pPr>
              <w:spacing w:line="240" w:lineRule="auto"/>
              <w:jc w:val="center"/>
            </w:pPr>
          </w:p>
        </w:tc>
        <w:tc>
          <w:tcPr>
            <w:tcW w:w="1851" w:type="dxa"/>
            <w:shd w:val="clear" w:color="auto" w:fill="auto"/>
            <w:noWrap/>
            <w:vAlign w:val="center"/>
          </w:tcPr>
          <w:p w:rsidR="0032369C" w:rsidRPr="00AE086E" w:rsidRDefault="0032369C" w:rsidP="00790400">
            <w:pPr>
              <w:spacing w:after="0" w:line="240" w:lineRule="auto"/>
              <w:jc w:val="center"/>
            </w:pPr>
            <w:r w:rsidRPr="00AE086E">
              <w:t>0.8</w:t>
            </w:r>
            <w:r w:rsidR="00A00A08" w:rsidRPr="00AE086E">
              <w:rPr>
                <w:rStyle w:val="FootnoteReference"/>
              </w:rPr>
              <w:t>4</w:t>
            </w:r>
          </w:p>
        </w:tc>
        <w:tc>
          <w:tcPr>
            <w:tcW w:w="1872" w:type="dxa"/>
            <w:shd w:val="clear" w:color="auto" w:fill="auto"/>
            <w:noWrap/>
            <w:vAlign w:val="center"/>
          </w:tcPr>
          <w:p w:rsidR="0032369C" w:rsidRPr="00AE086E" w:rsidRDefault="0032369C" w:rsidP="00790400">
            <w:pPr>
              <w:spacing w:after="0" w:line="240" w:lineRule="auto"/>
              <w:jc w:val="center"/>
            </w:pPr>
            <w:r w:rsidRPr="00AE086E">
              <w:t>600 (2 hrs/day)</w:t>
            </w:r>
          </w:p>
        </w:tc>
        <w:tc>
          <w:tcPr>
            <w:tcW w:w="1803" w:type="dxa"/>
            <w:shd w:val="clear" w:color="auto" w:fill="auto"/>
            <w:noWrap/>
            <w:vAlign w:val="center"/>
          </w:tcPr>
          <w:p w:rsidR="0032369C" w:rsidRPr="00AE086E" w:rsidRDefault="0032369C" w:rsidP="00790400">
            <w:pPr>
              <w:spacing w:after="0" w:line="240" w:lineRule="auto"/>
              <w:jc w:val="center"/>
            </w:pPr>
            <w:r w:rsidRPr="00AE086E">
              <w:t>$3.50</w:t>
            </w:r>
          </w:p>
        </w:tc>
        <w:tc>
          <w:tcPr>
            <w:tcW w:w="1638" w:type="dxa"/>
            <w:shd w:val="clear" w:color="auto" w:fill="auto"/>
            <w:noWrap/>
            <w:vAlign w:val="center"/>
          </w:tcPr>
          <w:p w:rsidR="0032369C" w:rsidRPr="00AE086E" w:rsidRDefault="0032369C" w:rsidP="00790400">
            <w:pPr>
              <w:spacing w:after="0" w:line="240" w:lineRule="auto"/>
              <w:jc w:val="center"/>
            </w:pPr>
            <w:r w:rsidRPr="00AE086E">
              <w:t>456</w:t>
            </w:r>
          </w:p>
        </w:tc>
        <w:tc>
          <w:tcPr>
            <w:tcW w:w="1563" w:type="dxa"/>
            <w:shd w:val="clear" w:color="auto" w:fill="auto"/>
            <w:noWrap/>
            <w:vAlign w:val="center"/>
          </w:tcPr>
          <w:p w:rsidR="0032369C" w:rsidRPr="00AE086E" w:rsidRDefault="0032369C" w:rsidP="00790400">
            <w:pPr>
              <w:spacing w:after="0" w:line="240" w:lineRule="auto"/>
              <w:jc w:val="center"/>
            </w:pPr>
            <w:r w:rsidRPr="00AE086E">
              <w:t>$1,596</w:t>
            </w:r>
          </w:p>
        </w:tc>
      </w:tr>
      <w:tr w:rsidR="0032369C" w:rsidRPr="00AE086E" w:rsidTr="00136051">
        <w:trPr>
          <w:trHeight w:val="300"/>
          <w:jc w:val="center"/>
        </w:trPr>
        <w:tc>
          <w:tcPr>
            <w:tcW w:w="1350" w:type="dxa"/>
            <w:vMerge/>
            <w:shd w:val="clear" w:color="auto" w:fill="auto"/>
            <w:noWrap/>
            <w:vAlign w:val="center"/>
          </w:tcPr>
          <w:p w:rsidR="0032369C" w:rsidRPr="00AE086E" w:rsidRDefault="0032369C" w:rsidP="00790400">
            <w:pPr>
              <w:spacing w:after="0" w:line="240" w:lineRule="auto"/>
              <w:jc w:val="center"/>
            </w:pPr>
          </w:p>
        </w:tc>
        <w:tc>
          <w:tcPr>
            <w:tcW w:w="1851" w:type="dxa"/>
            <w:shd w:val="clear" w:color="auto" w:fill="auto"/>
            <w:noWrap/>
            <w:vAlign w:val="center"/>
          </w:tcPr>
          <w:p w:rsidR="0032369C" w:rsidRPr="00AE086E" w:rsidRDefault="0032369C" w:rsidP="00790400">
            <w:pPr>
              <w:spacing w:after="0" w:line="240" w:lineRule="auto"/>
              <w:jc w:val="center"/>
            </w:pPr>
          </w:p>
        </w:tc>
        <w:tc>
          <w:tcPr>
            <w:tcW w:w="1872" w:type="dxa"/>
            <w:shd w:val="clear" w:color="auto" w:fill="auto"/>
            <w:noWrap/>
            <w:vAlign w:val="center"/>
          </w:tcPr>
          <w:p w:rsidR="0032369C" w:rsidRPr="00AE086E" w:rsidRDefault="0032369C" w:rsidP="00790400">
            <w:pPr>
              <w:spacing w:after="0" w:line="240" w:lineRule="auto"/>
              <w:jc w:val="center"/>
            </w:pPr>
            <w:r w:rsidRPr="00AE086E">
              <w:t>1200 (4hrs/day)</w:t>
            </w:r>
          </w:p>
        </w:tc>
        <w:tc>
          <w:tcPr>
            <w:tcW w:w="1803" w:type="dxa"/>
            <w:shd w:val="clear" w:color="auto" w:fill="auto"/>
            <w:noWrap/>
            <w:vAlign w:val="center"/>
          </w:tcPr>
          <w:p w:rsidR="0032369C" w:rsidRPr="00AE086E" w:rsidRDefault="0032369C" w:rsidP="00790400">
            <w:pPr>
              <w:spacing w:after="0" w:line="240" w:lineRule="auto"/>
              <w:jc w:val="center"/>
            </w:pPr>
            <w:r w:rsidRPr="00AE086E">
              <w:t>$3.50</w:t>
            </w:r>
          </w:p>
        </w:tc>
        <w:tc>
          <w:tcPr>
            <w:tcW w:w="1638" w:type="dxa"/>
            <w:shd w:val="clear" w:color="auto" w:fill="auto"/>
            <w:noWrap/>
            <w:vAlign w:val="center"/>
          </w:tcPr>
          <w:p w:rsidR="0032369C" w:rsidRPr="00AE086E" w:rsidRDefault="0032369C" w:rsidP="00790400">
            <w:pPr>
              <w:spacing w:after="0" w:line="240" w:lineRule="auto"/>
              <w:jc w:val="center"/>
            </w:pPr>
            <w:r w:rsidRPr="00AE086E">
              <w:t>912</w:t>
            </w:r>
          </w:p>
        </w:tc>
        <w:tc>
          <w:tcPr>
            <w:tcW w:w="1563" w:type="dxa"/>
            <w:shd w:val="clear" w:color="auto" w:fill="auto"/>
            <w:noWrap/>
            <w:vAlign w:val="center"/>
          </w:tcPr>
          <w:p w:rsidR="0032369C" w:rsidRPr="00AE086E" w:rsidRDefault="0032369C" w:rsidP="00790400">
            <w:pPr>
              <w:spacing w:after="0" w:line="240" w:lineRule="auto"/>
              <w:jc w:val="center"/>
            </w:pPr>
            <w:r w:rsidRPr="00AE086E">
              <w:t>$3,192</w:t>
            </w:r>
          </w:p>
        </w:tc>
      </w:tr>
      <w:tr w:rsidR="0032369C" w:rsidRPr="00AE086E" w:rsidTr="00136051">
        <w:trPr>
          <w:trHeight w:val="300"/>
          <w:jc w:val="center"/>
        </w:trPr>
        <w:tc>
          <w:tcPr>
            <w:tcW w:w="1350" w:type="dxa"/>
            <w:vMerge/>
            <w:shd w:val="clear" w:color="auto" w:fill="auto"/>
            <w:noWrap/>
            <w:vAlign w:val="center"/>
          </w:tcPr>
          <w:p w:rsidR="0032369C" w:rsidRPr="00AE086E" w:rsidRDefault="0032369C" w:rsidP="00790400">
            <w:pPr>
              <w:spacing w:after="0" w:line="240" w:lineRule="auto"/>
              <w:jc w:val="center"/>
            </w:pPr>
          </w:p>
        </w:tc>
        <w:tc>
          <w:tcPr>
            <w:tcW w:w="1851" w:type="dxa"/>
            <w:shd w:val="clear" w:color="auto" w:fill="auto"/>
            <w:noWrap/>
            <w:vAlign w:val="center"/>
          </w:tcPr>
          <w:p w:rsidR="0032369C" w:rsidRPr="00AE086E" w:rsidRDefault="0032369C" w:rsidP="00790400">
            <w:pPr>
              <w:spacing w:after="0" w:line="240" w:lineRule="auto"/>
              <w:jc w:val="center"/>
            </w:pPr>
          </w:p>
        </w:tc>
        <w:tc>
          <w:tcPr>
            <w:tcW w:w="1872" w:type="dxa"/>
            <w:shd w:val="clear" w:color="auto" w:fill="auto"/>
            <w:noWrap/>
            <w:vAlign w:val="center"/>
          </w:tcPr>
          <w:p w:rsidR="0032369C" w:rsidRPr="00AE086E" w:rsidRDefault="0032369C" w:rsidP="00790400">
            <w:pPr>
              <w:spacing w:after="0" w:line="240" w:lineRule="auto"/>
              <w:jc w:val="center"/>
            </w:pPr>
            <w:r w:rsidRPr="00AE086E">
              <w:t>1800 (6 hrs/day)</w:t>
            </w:r>
            <w:r w:rsidR="00136051" w:rsidRPr="00AE086E">
              <w:rPr>
                <w:vertAlign w:val="superscript"/>
              </w:rPr>
              <w:t>5</w:t>
            </w:r>
          </w:p>
        </w:tc>
        <w:tc>
          <w:tcPr>
            <w:tcW w:w="1803" w:type="dxa"/>
            <w:shd w:val="clear" w:color="auto" w:fill="auto"/>
            <w:noWrap/>
            <w:vAlign w:val="center"/>
          </w:tcPr>
          <w:p w:rsidR="0032369C" w:rsidRPr="00AE086E" w:rsidRDefault="0032369C" w:rsidP="00790400">
            <w:pPr>
              <w:spacing w:after="0" w:line="240" w:lineRule="auto"/>
              <w:jc w:val="center"/>
            </w:pPr>
            <w:r w:rsidRPr="00AE086E">
              <w:t>$3.50</w:t>
            </w:r>
          </w:p>
        </w:tc>
        <w:tc>
          <w:tcPr>
            <w:tcW w:w="1638" w:type="dxa"/>
            <w:shd w:val="clear" w:color="auto" w:fill="auto"/>
            <w:noWrap/>
            <w:vAlign w:val="center"/>
          </w:tcPr>
          <w:p w:rsidR="0032369C" w:rsidRPr="00AE086E" w:rsidRDefault="0032369C" w:rsidP="00790400">
            <w:pPr>
              <w:spacing w:after="0" w:line="240" w:lineRule="auto"/>
              <w:jc w:val="center"/>
            </w:pPr>
            <w:r w:rsidRPr="00AE086E">
              <w:t>1,368</w:t>
            </w:r>
          </w:p>
        </w:tc>
        <w:tc>
          <w:tcPr>
            <w:tcW w:w="1563" w:type="dxa"/>
            <w:shd w:val="clear" w:color="auto" w:fill="auto"/>
            <w:noWrap/>
            <w:vAlign w:val="center"/>
          </w:tcPr>
          <w:p w:rsidR="0032369C" w:rsidRPr="00AE086E" w:rsidRDefault="0032369C" w:rsidP="00790400">
            <w:pPr>
              <w:spacing w:after="0" w:line="240" w:lineRule="auto"/>
              <w:jc w:val="center"/>
            </w:pPr>
            <w:r w:rsidRPr="00AE086E">
              <w:t>$4,788</w:t>
            </w:r>
          </w:p>
        </w:tc>
      </w:tr>
    </w:tbl>
    <w:p w:rsidR="00B66B5A" w:rsidRPr="00AE086E" w:rsidRDefault="00B66B5A" w:rsidP="00790400">
      <w:pPr>
        <w:spacing w:after="0" w:line="240" w:lineRule="auto"/>
        <w:ind w:left="720"/>
        <w:rPr>
          <w:vertAlign w:val="superscript"/>
        </w:rPr>
      </w:pPr>
    </w:p>
    <w:p w:rsidR="0032369C" w:rsidRPr="00AE086E" w:rsidRDefault="00136051" w:rsidP="00790400">
      <w:pPr>
        <w:spacing w:after="0" w:line="240" w:lineRule="auto"/>
        <w:ind w:left="720"/>
        <w:rPr>
          <w:sz w:val="16"/>
          <w:szCs w:val="16"/>
        </w:rPr>
      </w:pPr>
      <w:r w:rsidRPr="00AE086E">
        <w:rPr>
          <w:sz w:val="16"/>
          <w:szCs w:val="16"/>
          <w:vertAlign w:val="superscript"/>
        </w:rPr>
        <w:t>1</w:t>
      </w:r>
      <w:r w:rsidRPr="00AE086E">
        <w:rPr>
          <w:sz w:val="16"/>
          <w:szCs w:val="16"/>
        </w:rPr>
        <w:t xml:space="preserve"> </w:t>
      </w:r>
      <w:r w:rsidR="00A00A08" w:rsidRPr="00AE086E">
        <w:rPr>
          <w:sz w:val="16"/>
          <w:szCs w:val="16"/>
        </w:rPr>
        <w:t>The number of annual “in-use days” has been estimated at 300 days. Source: http://www.illinoisgreenfleets.org/idling/truck-idling-brochure.pdf</w:t>
      </w:r>
    </w:p>
    <w:p w:rsidR="00BC29BF" w:rsidRPr="00AE086E" w:rsidRDefault="00136051" w:rsidP="00790400">
      <w:pPr>
        <w:spacing w:after="0" w:line="240" w:lineRule="auto"/>
        <w:ind w:left="720"/>
        <w:rPr>
          <w:sz w:val="16"/>
          <w:szCs w:val="16"/>
        </w:rPr>
      </w:pPr>
      <w:r w:rsidRPr="00AE086E">
        <w:rPr>
          <w:sz w:val="16"/>
          <w:szCs w:val="16"/>
          <w:vertAlign w:val="superscript"/>
        </w:rPr>
        <w:t>2</w:t>
      </w:r>
      <w:r w:rsidRPr="00AE086E">
        <w:rPr>
          <w:sz w:val="16"/>
          <w:szCs w:val="16"/>
        </w:rPr>
        <w:t xml:space="preserve"> </w:t>
      </w:r>
      <w:r w:rsidR="00A00A08" w:rsidRPr="00AE086E">
        <w:rPr>
          <w:sz w:val="16"/>
          <w:szCs w:val="16"/>
        </w:rPr>
        <w:t xml:space="preserve">The number of annual “in-use days” has been estimated at 300 days. Source: </w:t>
      </w:r>
      <w:hyperlink r:id="rId36" w:history="1">
        <w:r w:rsidR="00A00A08" w:rsidRPr="00AE086E">
          <w:rPr>
            <w:rStyle w:val="Hyperlink"/>
            <w:sz w:val="16"/>
            <w:szCs w:val="16"/>
          </w:rPr>
          <w:t>http://www.illinoisgreenfleets.org/idling/truck-idling-brochure.pdf</w:t>
        </w:r>
      </w:hyperlink>
    </w:p>
    <w:p w:rsidR="00A00A08" w:rsidRPr="00AE086E" w:rsidRDefault="00136051" w:rsidP="00790400">
      <w:pPr>
        <w:spacing w:after="0" w:line="240" w:lineRule="auto"/>
        <w:ind w:left="720"/>
        <w:rPr>
          <w:sz w:val="16"/>
          <w:szCs w:val="16"/>
        </w:rPr>
      </w:pPr>
      <w:r w:rsidRPr="00AE086E">
        <w:rPr>
          <w:sz w:val="16"/>
          <w:szCs w:val="16"/>
          <w:vertAlign w:val="superscript"/>
        </w:rPr>
        <w:t>3</w:t>
      </w:r>
      <w:r w:rsidRPr="00AE086E">
        <w:rPr>
          <w:sz w:val="16"/>
          <w:szCs w:val="16"/>
        </w:rPr>
        <w:t xml:space="preserve"> </w:t>
      </w:r>
      <w:r w:rsidR="00A00A08" w:rsidRPr="00AE086E">
        <w:rPr>
          <w:sz w:val="16"/>
          <w:szCs w:val="16"/>
        </w:rPr>
        <w:t xml:space="preserve">Calculation based on </w:t>
      </w:r>
      <w:r w:rsidR="006D1B64">
        <w:rPr>
          <w:sz w:val="16"/>
          <w:szCs w:val="16"/>
        </w:rPr>
        <w:t xml:space="preserve">Jan 2012 </w:t>
      </w:r>
      <w:r w:rsidR="00A00A08" w:rsidRPr="00AE086E">
        <w:rPr>
          <w:sz w:val="16"/>
          <w:szCs w:val="16"/>
        </w:rPr>
        <w:t>diesel fuel price of $3.50 per gallon. Calculation does not include increased maintenance costs for engine wear caused by extended idling.</w:t>
      </w:r>
    </w:p>
    <w:p w:rsidR="00A00A08" w:rsidRPr="00AE086E" w:rsidRDefault="00136051" w:rsidP="00790400">
      <w:pPr>
        <w:spacing w:after="0" w:line="240" w:lineRule="auto"/>
        <w:ind w:left="720"/>
        <w:rPr>
          <w:sz w:val="16"/>
          <w:szCs w:val="16"/>
        </w:rPr>
      </w:pPr>
      <w:r w:rsidRPr="00AE086E">
        <w:rPr>
          <w:sz w:val="16"/>
          <w:szCs w:val="16"/>
          <w:vertAlign w:val="superscript"/>
        </w:rPr>
        <w:t>4</w:t>
      </w:r>
      <w:r w:rsidRPr="00AE086E">
        <w:rPr>
          <w:sz w:val="16"/>
          <w:szCs w:val="16"/>
        </w:rPr>
        <w:t xml:space="preserve"> </w:t>
      </w:r>
      <w:r w:rsidR="00A00A08" w:rsidRPr="00AE086E">
        <w:rPr>
          <w:sz w:val="16"/>
          <w:szCs w:val="16"/>
        </w:rPr>
        <w:t xml:space="preserve">A typical school bus burns approximately one-half gallon of diesel fuel for each hour it idles. </w:t>
      </w:r>
      <w:hyperlink r:id="rId37" w:history="1">
        <w:r w:rsidR="00A00A08" w:rsidRPr="00AE086E">
          <w:rPr>
            <w:rStyle w:val="Hyperlink"/>
            <w:sz w:val="16"/>
            <w:szCs w:val="16"/>
          </w:rPr>
          <w:t>http://www.mde.state.md.us/programs/Air/MobileSources/DieselVehicleInformation/UsefulWebLinks/Documents/f03021.pdf</w:t>
        </w:r>
      </w:hyperlink>
    </w:p>
    <w:p w:rsidR="00A00A08" w:rsidRPr="00AE086E" w:rsidRDefault="00136051" w:rsidP="00790400">
      <w:pPr>
        <w:spacing w:after="0" w:line="240" w:lineRule="auto"/>
        <w:ind w:left="720"/>
        <w:rPr>
          <w:sz w:val="16"/>
          <w:szCs w:val="16"/>
        </w:rPr>
      </w:pPr>
      <w:r w:rsidRPr="00AE086E">
        <w:rPr>
          <w:sz w:val="16"/>
          <w:szCs w:val="16"/>
          <w:vertAlign w:val="superscript"/>
        </w:rPr>
        <w:t>5</w:t>
      </w:r>
      <w:r w:rsidRPr="00AE086E">
        <w:rPr>
          <w:sz w:val="16"/>
          <w:szCs w:val="16"/>
        </w:rPr>
        <w:t xml:space="preserve"> </w:t>
      </w:r>
      <w:r w:rsidR="00A00A08" w:rsidRPr="00AE086E">
        <w:rPr>
          <w:sz w:val="16"/>
          <w:szCs w:val="16"/>
        </w:rPr>
        <w:t>Studies have shown that diesel trucks and buses use 0.75—1.2 gallons of fuel per hour of idling, depending on the size and type of engine. An average of .8 gallons of fuel consumed per each hour of idling was used in the above table. Source(s): http://www.trucksdeliver.org/recommendations/reduce-idling.html; http://www.illinoisgreenfleets.org/idling/truck-idling-brochure.pdf</w:t>
      </w:r>
    </w:p>
    <w:sectPr w:rsidR="00A00A08" w:rsidRPr="00AE086E" w:rsidSect="00C06984">
      <w:type w:val="continuous"/>
      <w:pgSz w:w="12240" w:h="15840"/>
      <w:pgMar w:top="1440" w:right="1440" w:bottom="1440" w:left="1440" w:header="720" w:footer="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359" w:rsidRDefault="00091359" w:rsidP="00377A27">
      <w:pPr>
        <w:spacing w:after="0" w:line="240" w:lineRule="auto"/>
      </w:pPr>
      <w:r>
        <w:separator/>
      </w:r>
    </w:p>
  </w:endnote>
  <w:endnote w:type="continuationSeparator" w:id="0">
    <w:p w:rsidR="00091359" w:rsidRDefault="00091359" w:rsidP="00377A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359" w:rsidRDefault="00091359" w:rsidP="00377A27">
      <w:pPr>
        <w:spacing w:after="0" w:line="240" w:lineRule="auto"/>
      </w:pPr>
      <w:r>
        <w:separator/>
      </w:r>
    </w:p>
  </w:footnote>
  <w:footnote w:type="continuationSeparator" w:id="0">
    <w:p w:rsidR="00091359" w:rsidRDefault="00091359" w:rsidP="00377A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57A"/>
    <w:multiLevelType w:val="hybridMultilevel"/>
    <w:tmpl w:val="8102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6029D"/>
    <w:multiLevelType w:val="hybridMultilevel"/>
    <w:tmpl w:val="0094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574FE4"/>
    <w:multiLevelType w:val="hybridMultilevel"/>
    <w:tmpl w:val="E2660F5E"/>
    <w:lvl w:ilvl="0" w:tplc="9C82C4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627FE1"/>
    <w:multiLevelType w:val="multilevel"/>
    <w:tmpl w:val="5EFC5704"/>
    <w:lvl w:ilvl="0">
      <w:start w:val="1"/>
      <w:numFmt w:val="decimal"/>
      <w:lvlText w:val="(%1)"/>
      <w:lvlJc w:val="left"/>
      <w:pPr>
        <w:tabs>
          <w:tab w:val="num" w:pos="720"/>
        </w:tabs>
        <w:ind w:left="720" w:hanging="360"/>
      </w:pPr>
      <w:rPr>
        <w:rFonts w:ascii="Times New Roman" w:eastAsia="Calibri" w:hAnsi="Times New Roman" w:cs="Times New Roman"/>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620251F"/>
    <w:multiLevelType w:val="hybridMultilevel"/>
    <w:tmpl w:val="827C70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3F431DC2"/>
    <w:multiLevelType w:val="multilevel"/>
    <w:tmpl w:val="5EFC5704"/>
    <w:lvl w:ilvl="0">
      <w:start w:val="1"/>
      <w:numFmt w:val="decimal"/>
      <w:lvlText w:val="(%1)"/>
      <w:lvlJc w:val="left"/>
      <w:pPr>
        <w:tabs>
          <w:tab w:val="num" w:pos="720"/>
        </w:tabs>
        <w:ind w:left="720" w:hanging="360"/>
      </w:pPr>
      <w:rPr>
        <w:rFonts w:ascii="Times New Roman" w:eastAsia="Calibri" w:hAnsi="Times New Roman" w:cs="Times New Roman"/>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A073812"/>
    <w:multiLevelType w:val="hybridMultilevel"/>
    <w:tmpl w:val="B56226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4E233E0"/>
    <w:multiLevelType w:val="multilevel"/>
    <w:tmpl w:val="5EFC5704"/>
    <w:lvl w:ilvl="0">
      <w:start w:val="1"/>
      <w:numFmt w:val="decimal"/>
      <w:lvlText w:val="(%1)"/>
      <w:lvlJc w:val="left"/>
      <w:pPr>
        <w:tabs>
          <w:tab w:val="num" w:pos="720"/>
        </w:tabs>
        <w:ind w:left="720" w:hanging="360"/>
      </w:pPr>
      <w:rPr>
        <w:rFonts w:ascii="Times New Roman" w:eastAsia="Calibri" w:hAnsi="Times New Roman" w:cs="Times New Roman"/>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7896A23"/>
    <w:multiLevelType w:val="hybridMultilevel"/>
    <w:tmpl w:val="EE503A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5B840EEE"/>
    <w:multiLevelType w:val="multilevel"/>
    <w:tmpl w:val="C1DCC7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A3E0BC0"/>
    <w:multiLevelType w:val="multilevel"/>
    <w:tmpl w:val="5EFC5704"/>
    <w:lvl w:ilvl="0">
      <w:start w:val="1"/>
      <w:numFmt w:val="decimal"/>
      <w:lvlText w:val="(%1)"/>
      <w:lvlJc w:val="left"/>
      <w:pPr>
        <w:tabs>
          <w:tab w:val="num" w:pos="720"/>
        </w:tabs>
        <w:ind w:left="720" w:hanging="360"/>
      </w:pPr>
      <w:rPr>
        <w:rFonts w:ascii="Times New Roman" w:eastAsia="Calibri" w:hAnsi="Times New Roman" w:cs="Times New Roman"/>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9"/>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3">
    <w:abstractNumId w:val="8"/>
  </w:num>
  <w:num w:numId="4">
    <w:abstractNumId w:val="6"/>
  </w:num>
  <w:num w:numId="5">
    <w:abstractNumId w:val="4"/>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0"/>
  </w:num>
  <w:num w:numId="8">
    <w:abstractNumId w:val="1"/>
  </w:num>
  <w:num w:numId="9">
    <w:abstractNumId w:val="2"/>
  </w:num>
  <w:num w:numId="10">
    <w:abstractNumId w:val="5"/>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091359"/>
    <w:rsid w:val="000056F1"/>
    <w:rsid w:val="00052957"/>
    <w:rsid w:val="00091359"/>
    <w:rsid w:val="000B6857"/>
    <w:rsid w:val="000C027E"/>
    <w:rsid w:val="000C3177"/>
    <w:rsid w:val="000C6217"/>
    <w:rsid w:val="000E761D"/>
    <w:rsid w:val="0010454F"/>
    <w:rsid w:val="00104A2C"/>
    <w:rsid w:val="00127E54"/>
    <w:rsid w:val="00136051"/>
    <w:rsid w:val="00163FD0"/>
    <w:rsid w:val="0019477E"/>
    <w:rsid w:val="001A0AA3"/>
    <w:rsid w:val="001A53A6"/>
    <w:rsid w:val="001A7838"/>
    <w:rsid w:val="001B3024"/>
    <w:rsid w:val="001C0CD0"/>
    <w:rsid w:val="001E60C1"/>
    <w:rsid w:val="00204C8F"/>
    <w:rsid w:val="00216503"/>
    <w:rsid w:val="00243182"/>
    <w:rsid w:val="00267929"/>
    <w:rsid w:val="002803F7"/>
    <w:rsid w:val="002976A0"/>
    <w:rsid w:val="002C21AF"/>
    <w:rsid w:val="0032369C"/>
    <w:rsid w:val="00343EB0"/>
    <w:rsid w:val="00344073"/>
    <w:rsid w:val="0035277B"/>
    <w:rsid w:val="00377A27"/>
    <w:rsid w:val="00380D2D"/>
    <w:rsid w:val="0039512B"/>
    <w:rsid w:val="003A0242"/>
    <w:rsid w:val="00460521"/>
    <w:rsid w:val="0047250E"/>
    <w:rsid w:val="00520AE8"/>
    <w:rsid w:val="0060234E"/>
    <w:rsid w:val="0062476D"/>
    <w:rsid w:val="00631457"/>
    <w:rsid w:val="006407C1"/>
    <w:rsid w:val="0065402A"/>
    <w:rsid w:val="0069251F"/>
    <w:rsid w:val="00694981"/>
    <w:rsid w:val="006B56CF"/>
    <w:rsid w:val="006C13C6"/>
    <w:rsid w:val="006D1B64"/>
    <w:rsid w:val="007037B0"/>
    <w:rsid w:val="007407B8"/>
    <w:rsid w:val="00790400"/>
    <w:rsid w:val="007A2123"/>
    <w:rsid w:val="007C1BF5"/>
    <w:rsid w:val="00842634"/>
    <w:rsid w:val="0085439A"/>
    <w:rsid w:val="00870E78"/>
    <w:rsid w:val="00885187"/>
    <w:rsid w:val="008C2874"/>
    <w:rsid w:val="008D6A6D"/>
    <w:rsid w:val="008E07EA"/>
    <w:rsid w:val="008E1F25"/>
    <w:rsid w:val="008E40D2"/>
    <w:rsid w:val="009111E6"/>
    <w:rsid w:val="009312CE"/>
    <w:rsid w:val="0095152D"/>
    <w:rsid w:val="00995AD2"/>
    <w:rsid w:val="009F0096"/>
    <w:rsid w:val="00A00A08"/>
    <w:rsid w:val="00A24401"/>
    <w:rsid w:val="00A57AC8"/>
    <w:rsid w:val="00A6088A"/>
    <w:rsid w:val="00AE086E"/>
    <w:rsid w:val="00AF4F3E"/>
    <w:rsid w:val="00B23FF9"/>
    <w:rsid w:val="00B66B5A"/>
    <w:rsid w:val="00B671A3"/>
    <w:rsid w:val="00B82D68"/>
    <w:rsid w:val="00B85015"/>
    <w:rsid w:val="00BB02F9"/>
    <w:rsid w:val="00BC29BF"/>
    <w:rsid w:val="00BF6AA8"/>
    <w:rsid w:val="00C02C74"/>
    <w:rsid w:val="00C06984"/>
    <w:rsid w:val="00C23654"/>
    <w:rsid w:val="00C27528"/>
    <w:rsid w:val="00C50EB5"/>
    <w:rsid w:val="00C951C4"/>
    <w:rsid w:val="00CC367F"/>
    <w:rsid w:val="00D2501A"/>
    <w:rsid w:val="00D27596"/>
    <w:rsid w:val="00D3454D"/>
    <w:rsid w:val="00DC6620"/>
    <w:rsid w:val="00DC6772"/>
    <w:rsid w:val="00E04364"/>
    <w:rsid w:val="00E96CB6"/>
    <w:rsid w:val="00EE7B3B"/>
    <w:rsid w:val="00F00397"/>
    <w:rsid w:val="00F008E1"/>
    <w:rsid w:val="00F96D46"/>
    <w:rsid w:val="00FB1C04"/>
    <w:rsid w:val="00FC7B4E"/>
    <w:rsid w:val="00FF26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A27"/>
    <w:rPr>
      <w:rFonts w:ascii="Times New Roman" w:eastAsia="Calibri" w:hAnsi="Times New Roman" w:cs="Times New Roman"/>
      <w:sz w:val="24"/>
      <w:szCs w:val="24"/>
    </w:rPr>
  </w:style>
  <w:style w:type="paragraph" w:styleId="Heading1">
    <w:name w:val="heading 1"/>
    <w:basedOn w:val="Normal"/>
    <w:link w:val="Heading1Char"/>
    <w:uiPriority w:val="9"/>
    <w:qFormat/>
    <w:rsid w:val="00136051"/>
    <w:pPr>
      <w:spacing w:before="100" w:beforeAutospacing="1" w:after="100" w:afterAutospacing="1" w:line="225" w:lineRule="atLeast"/>
      <w:outlineLvl w:val="0"/>
    </w:pPr>
    <w:rPr>
      <w:rFonts w:ascii="Gill Sans MT" w:eastAsia="Times New Roman" w:hAnsi="Gill Sans MT"/>
      <w:b/>
      <w:bCs/>
      <w:color w:val="004D75"/>
      <w:kern w:val="3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77A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A27"/>
    <w:rPr>
      <w:rFonts w:ascii="Times New Roman" w:eastAsia="Calibri" w:hAnsi="Times New Roman" w:cs="Times New Roman"/>
      <w:sz w:val="24"/>
      <w:szCs w:val="24"/>
    </w:rPr>
  </w:style>
  <w:style w:type="paragraph" w:styleId="Footer">
    <w:name w:val="footer"/>
    <w:basedOn w:val="Normal"/>
    <w:link w:val="FooterChar"/>
    <w:uiPriority w:val="99"/>
    <w:rsid w:val="00377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A27"/>
    <w:rPr>
      <w:rFonts w:ascii="Times New Roman" w:eastAsia="Calibri" w:hAnsi="Times New Roman" w:cs="Times New Roman"/>
      <w:sz w:val="24"/>
      <w:szCs w:val="24"/>
    </w:rPr>
  </w:style>
  <w:style w:type="character" w:styleId="Hyperlink">
    <w:name w:val="Hyperlink"/>
    <w:basedOn w:val="DefaultParagraphFont"/>
    <w:uiPriority w:val="99"/>
    <w:rsid w:val="00377A27"/>
    <w:rPr>
      <w:color w:val="0000FF"/>
      <w:u w:val="single"/>
    </w:rPr>
  </w:style>
  <w:style w:type="paragraph" w:styleId="ListParagraph">
    <w:name w:val="List Paragraph"/>
    <w:basedOn w:val="Normal"/>
    <w:uiPriority w:val="34"/>
    <w:qFormat/>
    <w:rsid w:val="00377A27"/>
    <w:pPr>
      <w:ind w:left="720"/>
    </w:pPr>
  </w:style>
  <w:style w:type="paragraph" w:styleId="FootnoteText">
    <w:name w:val="footnote text"/>
    <w:basedOn w:val="Normal"/>
    <w:link w:val="FootnoteTextChar"/>
    <w:uiPriority w:val="99"/>
    <w:rsid w:val="00377A27"/>
    <w:pPr>
      <w:spacing w:after="0" w:line="240" w:lineRule="auto"/>
    </w:pPr>
    <w:rPr>
      <w:sz w:val="20"/>
      <w:szCs w:val="20"/>
    </w:rPr>
  </w:style>
  <w:style w:type="character" w:customStyle="1" w:styleId="FootnoteTextChar">
    <w:name w:val="Footnote Text Char"/>
    <w:basedOn w:val="DefaultParagraphFont"/>
    <w:link w:val="FootnoteText"/>
    <w:uiPriority w:val="99"/>
    <w:rsid w:val="00377A27"/>
    <w:rPr>
      <w:rFonts w:ascii="Times New Roman" w:eastAsia="Calibri" w:hAnsi="Times New Roman" w:cs="Times New Roman"/>
      <w:sz w:val="20"/>
      <w:szCs w:val="20"/>
    </w:rPr>
  </w:style>
  <w:style w:type="character" w:styleId="FootnoteReference">
    <w:name w:val="footnote reference"/>
    <w:basedOn w:val="DefaultParagraphFont"/>
    <w:uiPriority w:val="99"/>
    <w:semiHidden/>
    <w:rsid w:val="00377A27"/>
    <w:rPr>
      <w:vertAlign w:val="superscript"/>
    </w:rPr>
  </w:style>
  <w:style w:type="paragraph" w:styleId="BalloonText">
    <w:name w:val="Balloon Text"/>
    <w:basedOn w:val="Normal"/>
    <w:link w:val="BalloonTextChar"/>
    <w:uiPriority w:val="99"/>
    <w:semiHidden/>
    <w:unhideWhenUsed/>
    <w:rsid w:val="00377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A27"/>
    <w:rPr>
      <w:rFonts w:ascii="Tahoma" w:eastAsia="Calibri" w:hAnsi="Tahoma" w:cs="Tahoma"/>
      <w:sz w:val="16"/>
      <w:szCs w:val="16"/>
    </w:rPr>
  </w:style>
  <w:style w:type="character" w:styleId="CommentReference">
    <w:name w:val="annotation reference"/>
    <w:basedOn w:val="DefaultParagraphFont"/>
    <w:uiPriority w:val="99"/>
    <w:semiHidden/>
    <w:unhideWhenUsed/>
    <w:rsid w:val="00377A27"/>
    <w:rPr>
      <w:sz w:val="16"/>
      <w:szCs w:val="16"/>
    </w:rPr>
  </w:style>
  <w:style w:type="paragraph" w:styleId="CommentText">
    <w:name w:val="annotation text"/>
    <w:basedOn w:val="Normal"/>
    <w:link w:val="CommentTextChar"/>
    <w:uiPriority w:val="99"/>
    <w:semiHidden/>
    <w:unhideWhenUsed/>
    <w:rsid w:val="00377A27"/>
    <w:pPr>
      <w:spacing w:line="240" w:lineRule="auto"/>
    </w:pPr>
    <w:rPr>
      <w:sz w:val="20"/>
      <w:szCs w:val="20"/>
    </w:rPr>
  </w:style>
  <w:style w:type="character" w:customStyle="1" w:styleId="CommentTextChar">
    <w:name w:val="Comment Text Char"/>
    <w:basedOn w:val="DefaultParagraphFont"/>
    <w:link w:val="CommentText"/>
    <w:uiPriority w:val="99"/>
    <w:semiHidden/>
    <w:rsid w:val="00377A2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7A27"/>
    <w:rPr>
      <w:b/>
      <w:bCs/>
    </w:rPr>
  </w:style>
  <w:style w:type="character" w:customStyle="1" w:styleId="CommentSubjectChar">
    <w:name w:val="Comment Subject Char"/>
    <w:basedOn w:val="CommentTextChar"/>
    <w:link w:val="CommentSubject"/>
    <w:uiPriority w:val="99"/>
    <w:semiHidden/>
    <w:rsid w:val="00377A27"/>
    <w:rPr>
      <w:b/>
      <w:bCs/>
    </w:rPr>
  </w:style>
  <w:style w:type="character" w:customStyle="1" w:styleId="Heading1Char">
    <w:name w:val="Heading 1 Char"/>
    <w:basedOn w:val="DefaultParagraphFont"/>
    <w:link w:val="Heading1"/>
    <w:uiPriority w:val="9"/>
    <w:rsid w:val="00136051"/>
    <w:rPr>
      <w:rFonts w:ascii="Gill Sans MT" w:eastAsia="Times New Roman" w:hAnsi="Gill Sans MT" w:cs="Times New Roman"/>
      <w:b/>
      <w:bCs/>
      <w:color w:val="004D75"/>
      <w:kern w:val="36"/>
      <w:sz w:val="18"/>
      <w:szCs w:val="18"/>
    </w:rPr>
  </w:style>
  <w:style w:type="paragraph" w:styleId="NoSpacing">
    <w:name w:val="No Spacing"/>
    <w:uiPriority w:val="1"/>
    <w:qFormat/>
    <w:rsid w:val="00380D2D"/>
    <w:pPr>
      <w:spacing w:after="0" w:line="240" w:lineRule="auto"/>
    </w:pPr>
    <w:rPr>
      <w:rFonts w:ascii="Times New Roman" w:eastAsia="Calibri" w:hAnsi="Times New Roman" w:cs="Times New Roman"/>
      <w:sz w:val="24"/>
      <w:szCs w:val="24"/>
    </w:rPr>
  </w:style>
  <w:style w:type="paragraph" w:customStyle="1" w:styleId="Default">
    <w:name w:val="Default"/>
    <w:rsid w:val="007904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940261143">
      <w:bodyDiv w:val="1"/>
      <w:marLeft w:val="0"/>
      <w:marRight w:val="5"/>
      <w:marTop w:val="0"/>
      <w:marBottom w:val="600"/>
      <w:divBdr>
        <w:top w:val="none" w:sz="0" w:space="0" w:color="auto"/>
        <w:left w:val="none" w:sz="0" w:space="0" w:color="auto"/>
        <w:bottom w:val="none" w:sz="0" w:space="0" w:color="auto"/>
        <w:right w:val="none" w:sz="0" w:space="0" w:color="auto"/>
      </w:divBdr>
      <w:divsChild>
        <w:div w:id="354814519">
          <w:marLeft w:val="2265"/>
          <w:marRight w:val="0"/>
          <w:marTop w:val="45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gac.com/taq/airquality/raqpc/documents/2008/02-February/No_Idling-" TargetMode="External"/><Relationship Id="rId18" Type="http://schemas.openxmlformats.org/officeDocument/2006/relationships/hyperlink" Target="http://www.tceq.texas.gov/airquality/mobilesource/vehicleidling.html" TargetMode="External"/><Relationship Id="rId26" Type="http://schemas.openxmlformats.org/officeDocument/2006/relationships/hyperlink" Target="http://www.illinoisgreenfleets.org/idling/truck-idling-brochure.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tri-online.org/research/idling/ATRI_Idling_Compendium.pdf" TargetMode="External"/><Relationship Id="rId34" Type="http://schemas.openxmlformats.org/officeDocument/2006/relationships/hyperlink" Target="http://www.idlefreevt.org/Economic%20Fact%20Sheet_IFF.pdf" TargetMode="External"/><Relationship Id="rId7" Type="http://schemas.openxmlformats.org/officeDocument/2006/relationships/styles" Target="styles.xml"/><Relationship Id="rId12" Type="http://schemas.openxmlformats.org/officeDocument/2006/relationships/hyperlink" Target="http://www.epa.gov/cleanschoolbus/idling_policy.htm" TargetMode="External"/><Relationship Id="rId17" Type="http://schemas.openxmlformats.org/officeDocument/2006/relationships/hyperlink" Target="http://www.fhwa.dot.gov/environment/cmaqpgs/idlereduct/index.htm" TargetMode="External"/><Relationship Id="rId25" Type="http://schemas.openxmlformats.org/officeDocument/2006/relationships/hyperlink" Target="http://www.idlefreevt.org/viff-ups-fact.pdf" TargetMode="External"/><Relationship Id="rId33" Type="http://schemas.openxmlformats.org/officeDocument/2006/relationships/hyperlink" Target="http://www.idlefreevt.org/Argonne%20idling%20graph.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rdc.org/enterprise/greeningadvisor/ta-idling.asp" TargetMode="External"/><Relationship Id="rId20" Type="http://schemas.openxmlformats.org/officeDocument/2006/relationships/hyperlink" Target="http://www.co.stanislaus.ca.us/publicworks/pdf/diesel-vehicle-idling-policy.pdf" TargetMode="External"/><Relationship Id="rId29" Type="http://schemas.openxmlformats.org/officeDocument/2006/relationships/hyperlink" Target="http://www.transportation.anl.gov/pdfs/TA/15.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dh.ohio.gov/ASSETS/48906988A6244A34A73774D77922588F/8.%20Idling.pdf" TargetMode="External"/><Relationship Id="rId32" Type="http://schemas.openxmlformats.org/officeDocument/2006/relationships/hyperlink" Target="http://www.expeditersonline.com/sub/proheat/calculator.html" TargetMode="External"/><Relationship Id="rId37" Type="http://schemas.openxmlformats.org/officeDocument/2006/relationships/hyperlink" Target="http://www.mde.state.md.us/programs/Air/MobileSources/DieselVehicleInformation/UsefulWebLinks/Documents/f03021.pdf" TargetMode="External"/><Relationship Id="rId5" Type="http://schemas.openxmlformats.org/officeDocument/2006/relationships/customXml" Target="../customXml/item5.xml"/><Relationship Id="rId15" Type="http://schemas.openxmlformats.org/officeDocument/2006/relationships/hyperlink" Target="http://www.epa.gov/cleanschoolbus/idle_fuel_calc.htm" TargetMode="External"/><Relationship Id="rId23" Type="http://schemas.openxmlformats.org/officeDocument/2006/relationships/hyperlink" Target="http://www.nctcog.org/trans/committees/cctc/2009/EPAct/TxDOT.pdf" TargetMode="External"/><Relationship Id="rId28" Type="http://schemas.openxmlformats.org/officeDocument/2006/relationships/hyperlink" Target="http://www.trucksdeliver.org/recommendations/reduce-idling.html" TargetMode="External"/><Relationship Id="rId36" Type="http://schemas.openxmlformats.org/officeDocument/2006/relationships/hyperlink" Target="http://www.illinoisgreenfleets.org/idling/truck-idling-brochure.pdf" TargetMode="External"/><Relationship Id="rId10" Type="http://schemas.openxmlformats.org/officeDocument/2006/relationships/footnotes" Target="footnotes.xml"/><Relationship Id="rId19" Type="http://schemas.openxmlformats.org/officeDocument/2006/relationships/hyperlink" Target="http://www.nctcog.org/trans/air/programs/idling/index.asp" TargetMode="External"/><Relationship Id="rId31" Type="http://schemas.openxmlformats.org/officeDocument/2006/relationships/hyperlink" Target="http://www.lungusa.org/associations/charters/new-england/assets/pdfs/programs/idling-calculator.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b.ca.gov/msprog/ordiesel/guidance/writtenidlingguide.pdf" TargetMode="External"/><Relationship Id="rId22" Type="http://schemas.openxmlformats.org/officeDocument/2006/relationships/hyperlink" Target="http://www.cleanaircounts.org/documents/Idling%20Reduction%20Programs.pdf" TargetMode="External"/><Relationship Id="rId27" Type="http://schemas.openxmlformats.org/officeDocument/2006/relationships/hyperlink" Target="http://www.mde.state.md.us/programs/Air/MobileSources/DieselVehicleInformation/UsefulWebLinks/Documents/f03021.pdf" TargetMode="External"/><Relationship Id="rId30" Type="http://schemas.openxmlformats.org/officeDocument/2006/relationships/hyperlink" Target="http://www.mde.state.md.us/programs/Air/MobileSources/DieselVehicleInformation/UsefulWebLinks/Documents/epaidlingtesting.pdf" TargetMode="External"/><Relationship Id="rId35" Type="http://schemas.openxmlformats.org/officeDocument/2006/relationships/hyperlink" Target="http://www.nctcog.org/trans/air/programs/idling/Sign18x24_Watermark.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n\AppData\Local\Microsoft\Windows\Temporary%20Internet%20Files\Content.MSO\4B3B61A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ograms xmlns="7fbd5b30-7147-401a-abe7-4a0369f241e2">TP Air Quality</Programs>
    <Meeting_x0020_Date xmlns="7fbd5b30-7147-401a-abe7-4a0369f241e2">2012-03-20T05:00:00+00:00</Meeting_x0020_Date>
    <Committee_x0020_Name xmlns="7fbd5b30-7147-401a-abe7-4a0369f241e2">Board</Committee_x0020_Name>
    <Document_x0020_Title xmlns="7fbd5b30-7147-401a-abe7-4a0369f241e2">Regional Idling Policy</Document_x0020_Tit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http://sharepoint.hgac.net:82/sites/hgaccentral/board/Materials/Forms/Meeting Materials - Advisory or Board/86849689eb12c73acustomXsn.xsn</ntns:xsnLocation>
  <ntns:cached>False</ntns:cached>
  <ntns:openByDefault>False</ntns:openByDefault>
  <ntns:xsnScope>http://sharepoint.hgac.net:82/sites/hgaccentral/board/Materials</ntns:xsnScope>
</ntns:customXsn>
</file>

<file path=customXml/item4.xml><?xml version="1.0" encoding="utf-8"?>
<ct:contentTypeSchema xmlns:ct="http://schemas.microsoft.com/office/2006/metadata/contentType" xmlns:ma="http://schemas.microsoft.com/office/2006/metadata/properties/metaAttributes" ct:_="" ma:_="" ma:contentTypeName="Meeting Materials - Advisory or Board" ma:contentTypeID="0x01010000773EC21509A141A2AB141A99C1989500DA65BD6F7EB2B542BA10049D94CF1BF1" ma:contentTypeVersion="18" ma:contentTypeDescription="" ma:contentTypeScope="" ma:versionID="f285f7b59f7daa22666775ad9da1ff57">
  <xsd:schema xmlns:xsd="http://www.w3.org/2001/XMLSchema" xmlns:p="http://schemas.microsoft.com/office/2006/metadata/properties" xmlns:ns2="7fbd5b30-7147-401a-abe7-4a0369f241e2" targetNamespace="http://schemas.microsoft.com/office/2006/metadata/properties" ma:root="true" ma:fieldsID="18093f272f827fac96e46623097b5962" ns2:_="">
    <xsd:import namespace="7fbd5b30-7147-401a-abe7-4a0369f241e2"/>
    <xsd:element name="properties">
      <xsd:complexType>
        <xsd:sequence>
          <xsd:element name="documentManagement">
            <xsd:complexType>
              <xsd:all>
                <xsd:element ref="ns2:Document_x0020_Title"/>
                <xsd:element ref="ns2:Committee_x0020_Name" minOccurs="0"/>
                <xsd:element ref="ns2:Meeting_x0020_Date"/>
                <xsd:element ref="ns2:Programs"/>
              </xsd:all>
            </xsd:complexType>
          </xsd:element>
        </xsd:sequence>
      </xsd:complexType>
    </xsd:element>
  </xsd:schema>
  <xsd:schema xmlns:xsd="http://www.w3.org/2001/XMLSchema" xmlns:dms="http://schemas.microsoft.com/office/2006/documentManagement/types" targetNamespace="7fbd5b30-7147-401a-abe7-4a0369f241e2" elementFormDefault="qualified">
    <xsd:import namespace="http://schemas.microsoft.com/office/2006/documentManagement/types"/>
    <xsd:element name="Document_x0020_Title" ma:index="8" ma:displayName="Document Title" ma:internalName="Document_x0020_Title">
      <xsd:simpleType>
        <xsd:restriction base="dms:Text">
          <xsd:maxLength value="255"/>
        </xsd:restriction>
      </xsd:simpleType>
    </xsd:element>
    <xsd:element name="Committee_x0020_Name" ma:index="9" nillable="true" ma:displayName="Committee Name" ma:default="Board" ma:internalName="Committee_x0020_Name">
      <xsd:simpleType>
        <xsd:restriction base="dms:Text">
          <xsd:maxLength value="255"/>
        </xsd:restriction>
      </xsd:simpleType>
    </xsd:element>
    <xsd:element name="Meeting_x0020_Date" ma:index="10" ma:displayName="Meeting Date" ma:format="DateOnly" ma:internalName="Meeting_x0020_Date">
      <xsd:simpleType>
        <xsd:restriction base="dms:DateTime"/>
      </xsd:simpleType>
    </xsd:element>
    <xsd:element name="Programs" ma:index="11" ma:displayName="Programs" ma:format="Dropdown" ma:internalName="Programs">
      <xsd:simpleType>
        <xsd:restriction base="dms:Choice">
          <xsd:enumeration value="AD Administration"/>
          <xsd:enumeration value="AD Annual Events"/>
          <xsd:enumeration value="AD Internal Audit"/>
          <xsd:enumeration value="AD Program Operations"/>
          <xsd:enumeration value="CE Department"/>
          <xsd:enumeration value="CE Disaster Recovery and Resiliency Planning"/>
          <xsd:enumeration value="CE Economic Development"/>
          <xsd:enumeration value="CE Livable Communities"/>
          <xsd:enumeration value="CE Socioeconomic Modeling"/>
          <xsd:enumeration value="CE Solid Waste Management"/>
          <xsd:enumeration value="CE Water Resources"/>
          <xsd:enumeration value="DS Department"/>
          <xsd:enumeration value="DS Digital Mapping"/>
          <xsd:enumeration value="DS Information Systems"/>
          <xsd:enumeration value="DS Website"/>
          <xsd:enumeration value="FI Department"/>
          <xsd:enumeration value="FI Facilities"/>
          <xsd:enumeration value="FI Finance"/>
          <xsd:enumeration value="FI Human Resources"/>
          <xsd:enumeration value="FI Purchasing"/>
          <xsd:enumeration value="HS Department"/>
          <xsd:enumeration value="HS Aging"/>
          <xsd:enumeration value="HS AirCheckTexas"/>
          <xsd:enumeration value="HS Workforce"/>
          <xsd:enumeration value="PS Department"/>
          <xsd:enumeration value="PS 9-1-1"/>
          <xsd:enumeration value="PS Cooperative Purchasing"/>
          <xsd:enumeration value="PS Criminal Justice"/>
          <xsd:enumeration value="PS Election Law Workshop"/>
          <xsd:enumeration value="PS Homeland Security"/>
          <xsd:enumeration value="TP Department"/>
          <xsd:enumeration value="TP Air Quality"/>
          <xsd:enumeration value="TP Planning and Programm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AF73-97BF-4A4B-BD5E-D0AED352C5D2}">
  <ds:schemaRefs>
    <ds:schemaRef ds:uri="http://schemas.microsoft.com/office/2006/metadata/properties"/>
    <ds:schemaRef ds:uri="7fbd5b30-7147-401a-abe7-4a0369f241e2"/>
  </ds:schemaRefs>
</ds:datastoreItem>
</file>

<file path=customXml/itemProps2.xml><?xml version="1.0" encoding="utf-8"?>
<ds:datastoreItem xmlns:ds="http://schemas.openxmlformats.org/officeDocument/2006/customXml" ds:itemID="{B01D1DBF-C8DE-4FD5-82F8-5E4679C7AD15}">
  <ds:schemaRefs>
    <ds:schemaRef ds:uri="http://schemas.microsoft.com/sharepoint/v3/contenttype/forms"/>
  </ds:schemaRefs>
</ds:datastoreItem>
</file>

<file path=customXml/itemProps3.xml><?xml version="1.0" encoding="utf-8"?>
<ds:datastoreItem xmlns:ds="http://schemas.openxmlformats.org/officeDocument/2006/customXml" ds:itemID="{7EA8F56F-5E7A-405B-9F71-9886214A3A76}">
  <ds:schemaRefs>
    <ds:schemaRef ds:uri="http://schemas.microsoft.com/office/2006/metadata/customXsn"/>
  </ds:schemaRefs>
</ds:datastoreItem>
</file>

<file path=customXml/itemProps4.xml><?xml version="1.0" encoding="utf-8"?>
<ds:datastoreItem xmlns:ds="http://schemas.openxmlformats.org/officeDocument/2006/customXml" ds:itemID="{0BEA7DCC-0FCB-4D40-AD81-510E68979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d5b30-7147-401a-abe7-4a0369f241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F4E689CD-2449-4834-B9E3-D595D462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4B3B61AF</Template>
  <TotalTime>0</TotalTime>
  <Pages>3</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10024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dc:creator>
  <cp:keywords>Idling</cp:keywords>
  <cp:lastModifiedBy>bain</cp:lastModifiedBy>
  <cp:revision>2</cp:revision>
  <dcterms:created xsi:type="dcterms:W3CDTF">2012-08-06T18:26:00Z</dcterms:created>
  <dcterms:modified xsi:type="dcterms:W3CDTF">2012-08-06T18:26:00Z</dcterms:modified>
  <cp:contentType>Meeting Materials - Advisory or Board</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0x01010000773EC21509A141A2AB141A99C1989500DA65BD6F7EB2B542BA10049D94CF1BF1</vt:lpwstr>
  </property>
</Properties>
</file>